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BC0C" w14:textId="77777777" w:rsidR="00D85459" w:rsidRDefault="00D85459" w:rsidP="00D85459">
      <w:pPr>
        <w:jc w:val="center"/>
      </w:pPr>
      <w:r w:rsidRPr="001C240A">
        <w:rPr>
          <w:b/>
        </w:rPr>
        <w:t xml:space="preserve">The Mediating Role of Family Acceptance </w:t>
      </w:r>
      <w:r w:rsidRPr="003179C7">
        <w:rPr>
          <w:rFonts w:eastAsiaTheme="minorHAnsi"/>
          <w:b/>
          <w:color w:val="000000"/>
        </w:rPr>
        <w:t xml:space="preserve">and Conflict </w:t>
      </w:r>
      <w:r w:rsidRPr="001C240A">
        <w:rPr>
          <w:b/>
        </w:rPr>
        <w:t>on Suicidality among Sexual and Gender Minority Youth</w:t>
      </w:r>
      <w:r w:rsidRPr="001C240A">
        <w:t xml:space="preserve"> </w:t>
      </w:r>
    </w:p>
    <w:p w14:paraId="0333E64A" w14:textId="77777777" w:rsidR="00D85459" w:rsidRPr="001C240A" w:rsidRDefault="00D85459" w:rsidP="00D85459">
      <w:pPr>
        <w:jc w:val="center"/>
      </w:pPr>
    </w:p>
    <w:p w14:paraId="791654C2" w14:textId="77777777" w:rsidR="00D85459" w:rsidRDefault="00D85459" w:rsidP="00D85459">
      <w:pPr>
        <w:jc w:val="center"/>
      </w:pPr>
      <w:r w:rsidRPr="001C240A">
        <w:t xml:space="preserve">David A. Klein, MD, </w:t>
      </w:r>
      <w:proofErr w:type="spellStart"/>
      <w:r w:rsidRPr="001C240A">
        <w:t>MPH,</w:t>
      </w:r>
      <w:r>
        <w:rPr>
          <w:rFonts w:eastAsiaTheme="minorEastAsia"/>
          <w:bCs/>
          <w:vertAlign w:val="superscript"/>
        </w:rPr>
        <w:t>a,b</w:t>
      </w:r>
      <w:proofErr w:type="spellEnd"/>
      <w:r w:rsidRPr="001C240A">
        <w:rPr>
          <w:rFonts w:eastAsiaTheme="minorEastAsia"/>
          <w:bCs/>
          <w:vertAlign w:val="superscript"/>
        </w:rPr>
        <w:t xml:space="preserve"> </w:t>
      </w:r>
      <w:r w:rsidRPr="001C240A">
        <w:rPr>
          <w:rFonts w:eastAsiaTheme="minorEastAsia"/>
          <w:bCs/>
        </w:rPr>
        <w:t xml:space="preserve">Anwar E. Ahmed, </w:t>
      </w:r>
      <w:proofErr w:type="spellStart"/>
      <w:r w:rsidRPr="001C240A">
        <w:rPr>
          <w:rFonts w:eastAsiaTheme="minorEastAsia"/>
          <w:bCs/>
        </w:rPr>
        <w:t>PhD,</w:t>
      </w:r>
      <w:r>
        <w:rPr>
          <w:rFonts w:eastAsiaTheme="minorEastAsia"/>
          <w:bCs/>
          <w:vertAlign w:val="superscript"/>
        </w:rPr>
        <w:t>c,d</w:t>
      </w:r>
      <w:proofErr w:type="spellEnd"/>
      <w:r w:rsidRPr="001C240A">
        <w:rPr>
          <w:rFonts w:eastAsiaTheme="minorEastAsia"/>
          <w:bCs/>
          <w:vertAlign w:val="superscript"/>
        </w:rPr>
        <w:t xml:space="preserve"> </w:t>
      </w:r>
      <w:r w:rsidRPr="001C240A">
        <w:t xml:space="preserve">Mikela A. Murphy, </w:t>
      </w:r>
      <w:proofErr w:type="spellStart"/>
      <w:r w:rsidRPr="001C240A">
        <w:t>BA,</w:t>
      </w:r>
      <w:r>
        <w:rPr>
          <w:rFonts w:eastAsiaTheme="minorEastAsia"/>
          <w:bCs/>
          <w:vertAlign w:val="superscript"/>
        </w:rPr>
        <w:t>d,e</w:t>
      </w:r>
      <w:proofErr w:type="spellEnd"/>
      <w:r w:rsidRPr="001C240A">
        <w:t xml:space="preserve"> Arielle T. Pearlman</w:t>
      </w:r>
      <w:r>
        <w:t xml:space="preserve">, </w:t>
      </w:r>
      <w:proofErr w:type="spellStart"/>
      <w:r>
        <w:t>BA</w:t>
      </w:r>
      <w:r w:rsidRPr="001C240A">
        <w:t>,</w:t>
      </w:r>
      <w:r>
        <w:rPr>
          <w:rFonts w:eastAsiaTheme="minorEastAsia"/>
          <w:bCs/>
          <w:vertAlign w:val="superscript"/>
        </w:rPr>
        <w:t>d,e</w:t>
      </w:r>
      <w:proofErr w:type="spellEnd"/>
      <w:r w:rsidRPr="001C240A">
        <w:rPr>
          <w:rFonts w:eastAsiaTheme="minorEastAsia"/>
          <w:bCs/>
        </w:rPr>
        <w:t xml:space="preserve"> </w:t>
      </w:r>
      <w:r w:rsidRPr="001C240A">
        <w:t>Nia Johnson</w:t>
      </w:r>
      <w:r>
        <w:t xml:space="preserve">, </w:t>
      </w:r>
      <w:proofErr w:type="spellStart"/>
      <w:r>
        <w:t>BS</w:t>
      </w:r>
      <w:r w:rsidRPr="001C240A">
        <w:t>,</w:t>
      </w:r>
      <w:r>
        <w:rPr>
          <w:rFonts w:eastAsiaTheme="minorEastAsia"/>
          <w:bCs/>
          <w:vertAlign w:val="superscript"/>
        </w:rPr>
        <w:t>d,e</w:t>
      </w:r>
      <w:proofErr w:type="spellEnd"/>
      <w:r w:rsidRPr="001C240A">
        <w:t xml:space="preserve"> Joshua C. Gray, </w:t>
      </w:r>
      <w:proofErr w:type="spellStart"/>
      <w:r w:rsidRPr="001C240A">
        <w:t>PhD,</w:t>
      </w:r>
      <w:r>
        <w:rPr>
          <w:rFonts w:eastAsiaTheme="minorEastAsia"/>
          <w:bCs/>
          <w:vertAlign w:val="superscript"/>
        </w:rPr>
        <w:t>e</w:t>
      </w:r>
      <w:proofErr w:type="spellEnd"/>
      <w:r w:rsidRPr="001C240A">
        <w:t xml:space="preserve"> Natasha A. Schvey, </w:t>
      </w:r>
      <w:proofErr w:type="spellStart"/>
      <w:r w:rsidRPr="001C240A">
        <w:t>PhD</w:t>
      </w:r>
      <w:r>
        <w:rPr>
          <w:rFonts w:eastAsiaTheme="minorEastAsia"/>
          <w:bCs/>
          <w:vertAlign w:val="superscript"/>
        </w:rPr>
        <w:t>e</w:t>
      </w:r>
      <w:proofErr w:type="spellEnd"/>
    </w:p>
    <w:p w14:paraId="68BE994D" w14:textId="77777777" w:rsidR="00D85459" w:rsidRPr="001C240A" w:rsidRDefault="00D85459" w:rsidP="00D85459"/>
    <w:p w14:paraId="4FCF509C" w14:textId="11CB64DA" w:rsidR="008D5CA6" w:rsidRPr="00AB388D" w:rsidRDefault="008D5CA6" w:rsidP="008D5CA6">
      <w:pPr>
        <w:jc w:val="center"/>
        <w:rPr>
          <w:rFonts w:eastAsiaTheme="minorEastAsia"/>
          <w:bCs/>
          <w:sz w:val="22"/>
          <w:szCs w:val="22"/>
        </w:rPr>
      </w:pPr>
      <w:proofErr w:type="gramStart"/>
      <w:r>
        <w:rPr>
          <w:rFonts w:eastAsiaTheme="minorEastAsia"/>
          <w:bCs/>
          <w:sz w:val="22"/>
          <w:szCs w:val="22"/>
          <w:vertAlign w:val="superscript"/>
        </w:rPr>
        <w:t>a</w:t>
      </w:r>
      <w:proofErr w:type="gramEnd"/>
      <w:r w:rsidRPr="00AB388D">
        <w:rPr>
          <w:rFonts w:eastAsiaTheme="minorEastAsia"/>
          <w:bCs/>
          <w:sz w:val="22"/>
          <w:szCs w:val="22"/>
          <w:vertAlign w:val="superscript"/>
        </w:rPr>
        <w:t xml:space="preserve"> </w:t>
      </w:r>
      <w:r w:rsidRPr="00AB388D">
        <w:rPr>
          <w:rFonts w:eastAsiaTheme="minorEastAsia"/>
          <w:bCs/>
          <w:sz w:val="22"/>
          <w:szCs w:val="22"/>
        </w:rPr>
        <w:t>Department of Family Medicine, Uniformed Services University, Bethesda, MD</w:t>
      </w:r>
    </w:p>
    <w:p w14:paraId="730C156E" w14:textId="201ABAE2" w:rsidR="00D85459" w:rsidRPr="00AB388D" w:rsidRDefault="008D5CA6" w:rsidP="00D85459">
      <w:pPr>
        <w:jc w:val="center"/>
        <w:rPr>
          <w:rFonts w:eastAsiaTheme="minorEastAsia"/>
          <w:bCs/>
          <w:sz w:val="22"/>
          <w:szCs w:val="22"/>
        </w:rPr>
      </w:pPr>
      <w:proofErr w:type="gramStart"/>
      <w:r>
        <w:rPr>
          <w:rFonts w:eastAsiaTheme="minorEastAsia"/>
          <w:bCs/>
          <w:sz w:val="22"/>
          <w:szCs w:val="22"/>
          <w:vertAlign w:val="superscript"/>
        </w:rPr>
        <w:t>b</w:t>
      </w:r>
      <w:proofErr w:type="gramEnd"/>
      <w:r w:rsidR="00D85459" w:rsidRPr="00AB388D">
        <w:rPr>
          <w:sz w:val="22"/>
          <w:szCs w:val="22"/>
        </w:rPr>
        <w:t xml:space="preserve"> </w:t>
      </w:r>
      <w:r w:rsidR="00D85459" w:rsidRPr="00AB388D">
        <w:rPr>
          <w:rFonts w:eastAsiaTheme="minorEastAsia"/>
          <w:bCs/>
          <w:sz w:val="22"/>
          <w:szCs w:val="22"/>
        </w:rPr>
        <w:t>Department of Pediatrics, Uniformed Services University, Bethesda, MD</w:t>
      </w:r>
    </w:p>
    <w:p w14:paraId="412E7A6B" w14:textId="77777777" w:rsidR="00D85459" w:rsidRPr="00AB388D" w:rsidRDefault="00D85459" w:rsidP="00D85459">
      <w:pPr>
        <w:jc w:val="center"/>
        <w:rPr>
          <w:rFonts w:eastAsiaTheme="minorEastAsia"/>
          <w:bCs/>
          <w:sz w:val="22"/>
          <w:szCs w:val="22"/>
        </w:rPr>
      </w:pPr>
      <w:proofErr w:type="gramStart"/>
      <w:r>
        <w:rPr>
          <w:rFonts w:eastAsiaTheme="minorEastAsia"/>
          <w:bCs/>
          <w:sz w:val="22"/>
          <w:szCs w:val="22"/>
          <w:vertAlign w:val="superscript"/>
        </w:rPr>
        <w:t>c</w:t>
      </w:r>
      <w:proofErr w:type="gramEnd"/>
      <w:r w:rsidRPr="00AB388D">
        <w:rPr>
          <w:rFonts w:eastAsiaTheme="minorEastAsia"/>
          <w:bCs/>
          <w:sz w:val="22"/>
          <w:szCs w:val="22"/>
          <w:vertAlign w:val="superscript"/>
        </w:rPr>
        <w:t xml:space="preserve"> </w:t>
      </w:r>
      <w:r w:rsidRPr="00AB388D">
        <w:rPr>
          <w:rFonts w:eastAsiaTheme="minorEastAsia"/>
          <w:bCs/>
          <w:sz w:val="22"/>
          <w:szCs w:val="22"/>
        </w:rPr>
        <w:t>Department of Preventive Medicine and Biostatistics, Uniformed Services University, Bethesda, MD</w:t>
      </w:r>
    </w:p>
    <w:p w14:paraId="2F1B451F" w14:textId="77777777" w:rsidR="00D85459" w:rsidRPr="00AB388D" w:rsidRDefault="00D85459" w:rsidP="00D85459">
      <w:pPr>
        <w:jc w:val="center"/>
        <w:rPr>
          <w:rFonts w:eastAsiaTheme="minorEastAsia"/>
          <w:bCs/>
          <w:sz w:val="22"/>
          <w:szCs w:val="22"/>
          <w:vertAlign w:val="superscript"/>
        </w:rPr>
      </w:pPr>
      <w:proofErr w:type="gramStart"/>
      <w:r>
        <w:rPr>
          <w:rFonts w:eastAsiaTheme="minorEastAsia"/>
          <w:bCs/>
          <w:sz w:val="22"/>
          <w:szCs w:val="22"/>
          <w:vertAlign w:val="superscript"/>
        </w:rPr>
        <w:t>d</w:t>
      </w:r>
      <w:proofErr w:type="gramEnd"/>
      <w:r w:rsidRPr="00AB388D">
        <w:rPr>
          <w:sz w:val="22"/>
          <w:szCs w:val="22"/>
        </w:rPr>
        <w:t xml:space="preserve"> </w:t>
      </w:r>
      <w:r w:rsidRPr="00AB388D">
        <w:rPr>
          <w:rFonts w:eastAsiaTheme="minorEastAsia"/>
          <w:bCs/>
          <w:sz w:val="22"/>
          <w:szCs w:val="22"/>
        </w:rPr>
        <w:t>The Henry M. Jackson Foundation for the Advancement of Military Medicine (HJF), Bethesda, MD</w:t>
      </w:r>
    </w:p>
    <w:p w14:paraId="44377F77" w14:textId="77777777" w:rsidR="00D85459" w:rsidRPr="00AB388D" w:rsidRDefault="00D85459" w:rsidP="00D85459">
      <w:pPr>
        <w:jc w:val="center"/>
        <w:rPr>
          <w:rFonts w:eastAsiaTheme="minorEastAsia"/>
          <w:bCs/>
          <w:sz w:val="22"/>
          <w:szCs w:val="22"/>
        </w:rPr>
      </w:pPr>
      <w:proofErr w:type="gramStart"/>
      <w:r>
        <w:rPr>
          <w:rFonts w:eastAsiaTheme="minorEastAsia"/>
          <w:bCs/>
          <w:sz w:val="22"/>
          <w:szCs w:val="22"/>
          <w:vertAlign w:val="superscript"/>
        </w:rPr>
        <w:t>e</w:t>
      </w:r>
      <w:proofErr w:type="gramEnd"/>
      <w:r w:rsidRPr="00AB388D">
        <w:rPr>
          <w:sz w:val="22"/>
          <w:szCs w:val="22"/>
        </w:rPr>
        <w:t xml:space="preserve"> </w:t>
      </w:r>
      <w:r w:rsidRPr="00AB388D">
        <w:rPr>
          <w:rFonts w:eastAsiaTheme="minorEastAsia"/>
          <w:bCs/>
          <w:sz w:val="22"/>
          <w:szCs w:val="22"/>
        </w:rPr>
        <w:t>Department of Medical and Clinical Psychology, Uniformed Services University, Bethesda, MD</w:t>
      </w:r>
    </w:p>
    <w:p w14:paraId="2021E3D4" w14:textId="77777777" w:rsidR="00D85459" w:rsidRDefault="00D85459" w:rsidP="00D85459">
      <w:pPr>
        <w:pStyle w:val="NormalWeb"/>
        <w:suppressLineNumbers/>
        <w:tabs>
          <w:tab w:val="left" w:pos="720"/>
        </w:tabs>
        <w:spacing w:before="0" w:beforeAutospacing="0" w:after="0" w:afterAutospacing="0" w:line="480" w:lineRule="auto"/>
        <w:contextualSpacing/>
        <w:rPr>
          <w:i/>
        </w:rPr>
      </w:pPr>
    </w:p>
    <w:p w14:paraId="4F2E0F8F" w14:textId="77777777" w:rsidR="00D85459" w:rsidRPr="00086954" w:rsidRDefault="00D85459" w:rsidP="00D85459">
      <w:pPr>
        <w:pStyle w:val="NoSpacing"/>
        <w:rPr>
          <w:b/>
          <w:bCs/>
          <w:iCs/>
        </w:rPr>
      </w:pPr>
      <w:r w:rsidRPr="00086954">
        <w:rPr>
          <w:b/>
          <w:bCs/>
          <w:iCs/>
        </w:rPr>
        <w:t xml:space="preserve">Correspondence to: </w:t>
      </w:r>
    </w:p>
    <w:p w14:paraId="3517CF18" w14:textId="77777777" w:rsidR="00D85459" w:rsidRDefault="00D85459" w:rsidP="00D85459">
      <w:pPr>
        <w:pStyle w:val="NoSpacing"/>
      </w:pPr>
    </w:p>
    <w:p w14:paraId="6D70A601" w14:textId="77777777" w:rsidR="00D85459" w:rsidRPr="00AB3004" w:rsidRDefault="00D85459" w:rsidP="00D85459">
      <w:r w:rsidRPr="00AB3004">
        <w:t>David A. Klein, MD, MPH</w:t>
      </w:r>
    </w:p>
    <w:p w14:paraId="159D6FD9" w14:textId="77777777" w:rsidR="00D85459" w:rsidRDefault="00D85459" w:rsidP="00D85459">
      <w:pPr>
        <w:pStyle w:val="NoSpacing"/>
      </w:pPr>
      <w:r>
        <w:t>Department of Family Medicine</w:t>
      </w:r>
      <w:bookmarkStart w:id="0" w:name="_GoBack"/>
      <w:bookmarkEnd w:id="0"/>
    </w:p>
    <w:p w14:paraId="53D8987F" w14:textId="77777777" w:rsidR="00D85459" w:rsidRDefault="00D85459" w:rsidP="00D85459">
      <w:pPr>
        <w:pStyle w:val="NoSpacing"/>
      </w:pPr>
      <w:r w:rsidRPr="001C240A">
        <w:t>Uniformed Services University</w:t>
      </w:r>
    </w:p>
    <w:p w14:paraId="375F109C" w14:textId="77777777" w:rsidR="00D85459" w:rsidRDefault="00D85459" w:rsidP="00D85459">
      <w:pPr>
        <w:pStyle w:val="NoSpacing"/>
      </w:pPr>
      <w:r w:rsidRPr="001C240A">
        <w:t>4301 Jones Bridge Road, Bethesda, MD, 20814</w:t>
      </w:r>
    </w:p>
    <w:p w14:paraId="550D0DA8" w14:textId="77777777" w:rsidR="00D85459" w:rsidRDefault="00D85459" w:rsidP="00D85459">
      <w:pPr>
        <w:pStyle w:val="NoSpacing"/>
        <w:rPr>
          <w:lang w:val="fr-FR"/>
        </w:rPr>
      </w:pPr>
      <w:r>
        <w:t>United States</w:t>
      </w:r>
    </w:p>
    <w:p w14:paraId="70D1CFD4" w14:textId="77777777" w:rsidR="00D85459" w:rsidRPr="001C240A" w:rsidRDefault="00D85459" w:rsidP="00D85459">
      <w:pPr>
        <w:pStyle w:val="NoSpacing"/>
      </w:pPr>
      <w:r w:rsidRPr="001C240A">
        <w:rPr>
          <w:lang w:val="fr-FR"/>
        </w:rPr>
        <w:t>Phone: 443-293-6804</w:t>
      </w:r>
    </w:p>
    <w:p w14:paraId="3C1EE423" w14:textId="77777777" w:rsidR="00D85459" w:rsidRDefault="00D85459" w:rsidP="00D85459">
      <w:pPr>
        <w:pStyle w:val="NoSpacing"/>
        <w:spacing w:line="480" w:lineRule="auto"/>
        <w:rPr>
          <w:lang w:val="fr-FR"/>
        </w:rPr>
      </w:pPr>
      <w:r w:rsidRPr="001C240A">
        <w:rPr>
          <w:lang w:val="fr-FR"/>
        </w:rPr>
        <w:t xml:space="preserve">Email: </w:t>
      </w:r>
      <w:r w:rsidRPr="00AB3004">
        <w:rPr>
          <w:lang w:val="fr-FR"/>
        </w:rPr>
        <w:t>david.a.klein26.mil@mail.mil</w:t>
      </w:r>
    </w:p>
    <w:p w14:paraId="0822F0C1" w14:textId="77777777" w:rsidR="00D85459" w:rsidRPr="00DE12CB" w:rsidRDefault="00D85459" w:rsidP="00D85459">
      <w:pPr>
        <w:pStyle w:val="NoSpacing"/>
        <w:rPr>
          <w:rFonts w:ascii="Times" w:hAnsi="Times"/>
          <w:b/>
          <w:bCs/>
          <w:color w:val="000000"/>
          <w:sz w:val="27"/>
          <w:szCs w:val="27"/>
        </w:rPr>
      </w:pPr>
      <w:r w:rsidRPr="00161A6E">
        <w:rPr>
          <w:b/>
          <w:bCs/>
        </w:rPr>
        <w:t>Co-authors’ institutional addresses</w:t>
      </w:r>
    </w:p>
    <w:p w14:paraId="3F7ACE04" w14:textId="77777777" w:rsidR="00D85459" w:rsidRDefault="00D85459" w:rsidP="00D85459">
      <w:pPr>
        <w:pStyle w:val="NoSpacing"/>
      </w:pPr>
      <w:r w:rsidRPr="00DE12CB">
        <w:t xml:space="preserve">Anwar E. Ahmed, PhD - </w:t>
      </w:r>
      <w:r w:rsidRPr="00FE5845">
        <w:t>anwar.ahmed.ctr@usuhs.edu</w:t>
      </w:r>
      <w:r>
        <w:t xml:space="preserve">; </w:t>
      </w:r>
      <w:r w:rsidRPr="001C240A">
        <w:t>Uniformed Services University</w:t>
      </w:r>
    </w:p>
    <w:p w14:paraId="653E483E" w14:textId="77777777" w:rsidR="00D85459" w:rsidRDefault="00D85459" w:rsidP="00D85459">
      <w:pPr>
        <w:pStyle w:val="NoSpacing"/>
      </w:pPr>
      <w:r w:rsidRPr="001C240A">
        <w:t>4301 Jones Bridge Road, Bethesda, MD, 20814</w:t>
      </w:r>
      <w:r>
        <w:t>, USA</w:t>
      </w:r>
    </w:p>
    <w:p w14:paraId="216655BB" w14:textId="77777777" w:rsidR="00D85459" w:rsidRPr="00DE12CB" w:rsidRDefault="00D85459" w:rsidP="00D85459">
      <w:pPr>
        <w:pStyle w:val="NoSpacing"/>
      </w:pPr>
    </w:p>
    <w:p w14:paraId="6DF3AD4A" w14:textId="77777777" w:rsidR="00D85459" w:rsidRDefault="00D85459" w:rsidP="00D85459">
      <w:pPr>
        <w:pStyle w:val="NoSpacing"/>
      </w:pPr>
      <w:r w:rsidRPr="00DE12CB">
        <w:t>Mikela A. Murphy</w:t>
      </w:r>
      <w:r>
        <w:t xml:space="preserve">, BA - </w:t>
      </w:r>
      <w:r w:rsidRPr="00FE5845">
        <w:t>mikela.murphy.ctr@usuhs.edu</w:t>
      </w:r>
      <w:r>
        <w:t xml:space="preserve">; </w:t>
      </w:r>
      <w:r w:rsidRPr="001C240A">
        <w:t>Uniformed Services University</w:t>
      </w:r>
    </w:p>
    <w:p w14:paraId="384BDF3A" w14:textId="77777777" w:rsidR="00D85459" w:rsidRDefault="00D85459" w:rsidP="00D85459">
      <w:pPr>
        <w:pStyle w:val="NoSpacing"/>
      </w:pPr>
      <w:r w:rsidRPr="001C240A">
        <w:t>4301 Jones Bridge Road, Bethesda, MD, 20814</w:t>
      </w:r>
      <w:r>
        <w:t>, USA</w:t>
      </w:r>
    </w:p>
    <w:p w14:paraId="51BF8AE9" w14:textId="77777777" w:rsidR="00D85459" w:rsidRPr="00DE12CB" w:rsidRDefault="00D85459" w:rsidP="00D85459">
      <w:pPr>
        <w:pStyle w:val="NoSpacing"/>
      </w:pPr>
    </w:p>
    <w:p w14:paraId="3C40FA7D" w14:textId="77777777" w:rsidR="00D85459" w:rsidRDefault="00D85459" w:rsidP="00D85459">
      <w:pPr>
        <w:pStyle w:val="NoSpacing"/>
      </w:pPr>
      <w:r w:rsidRPr="00DE12CB">
        <w:t>Arielle T. Pearlman</w:t>
      </w:r>
      <w:r>
        <w:t>, BA</w:t>
      </w:r>
      <w:r w:rsidRPr="00DE12CB">
        <w:t xml:space="preserve"> - </w:t>
      </w:r>
      <w:r w:rsidRPr="00FE5845">
        <w:t>arielle.pearlman@usuhs.edu</w:t>
      </w:r>
      <w:r>
        <w:t xml:space="preserve">; </w:t>
      </w:r>
      <w:r w:rsidRPr="001C240A">
        <w:t>Uniformed Services University</w:t>
      </w:r>
    </w:p>
    <w:p w14:paraId="23D67231" w14:textId="77777777" w:rsidR="00D85459" w:rsidRDefault="00D85459" w:rsidP="00D85459">
      <w:pPr>
        <w:pStyle w:val="NoSpacing"/>
      </w:pPr>
      <w:r w:rsidRPr="001C240A">
        <w:t>4301 Jones Bridge Road, Bethesda, MD, 20814</w:t>
      </w:r>
      <w:r>
        <w:t>, USA</w:t>
      </w:r>
    </w:p>
    <w:p w14:paraId="74E7810A" w14:textId="77777777" w:rsidR="00D85459" w:rsidRPr="00DE12CB" w:rsidRDefault="00D85459" w:rsidP="00D85459">
      <w:pPr>
        <w:pStyle w:val="NoSpacing"/>
      </w:pPr>
    </w:p>
    <w:p w14:paraId="704E4228" w14:textId="77777777" w:rsidR="00D85459" w:rsidRDefault="00D85459" w:rsidP="00D85459">
      <w:pPr>
        <w:pStyle w:val="NoSpacing"/>
      </w:pPr>
      <w:r w:rsidRPr="00DE12CB">
        <w:t>Nia Johnson</w:t>
      </w:r>
      <w:r>
        <w:t>, BS</w:t>
      </w:r>
      <w:r w:rsidRPr="00DE12CB">
        <w:t xml:space="preserve"> - </w:t>
      </w:r>
      <w:r w:rsidRPr="00FE5845">
        <w:t>nia.md.johnson@gmail.com</w:t>
      </w:r>
      <w:hyperlink r:id="rId8" w:history="1"/>
      <w:r>
        <w:t xml:space="preserve">; </w:t>
      </w:r>
      <w:r w:rsidRPr="001C240A">
        <w:t>Uniformed Services University</w:t>
      </w:r>
    </w:p>
    <w:p w14:paraId="054CFD88" w14:textId="77777777" w:rsidR="00D85459" w:rsidRDefault="00D85459" w:rsidP="00D85459">
      <w:pPr>
        <w:pStyle w:val="NoSpacing"/>
      </w:pPr>
      <w:r w:rsidRPr="001C240A">
        <w:t>4301 Jones Bridge Road, Bethesda, MD, 20814</w:t>
      </w:r>
      <w:r>
        <w:t>, USA</w:t>
      </w:r>
    </w:p>
    <w:p w14:paraId="75A70DC4" w14:textId="77777777" w:rsidR="00D85459" w:rsidRPr="00DE12CB" w:rsidRDefault="00D85459" w:rsidP="00D85459">
      <w:pPr>
        <w:pStyle w:val="NoSpacing"/>
      </w:pPr>
    </w:p>
    <w:p w14:paraId="24C7FD5C" w14:textId="77777777" w:rsidR="00D85459" w:rsidRDefault="00D85459" w:rsidP="00D85459">
      <w:pPr>
        <w:pStyle w:val="NoSpacing"/>
      </w:pPr>
      <w:r w:rsidRPr="00DE12CB">
        <w:t xml:space="preserve">Joshua C. Gray, PhD - </w:t>
      </w:r>
      <w:r w:rsidRPr="00FE5845">
        <w:t>joshua.gray@usuhs.edu</w:t>
      </w:r>
      <w:r>
        <w:t xml:space="preserve">; </w:t>
      </w:r>
      <w:r w:rsidRPr="001C240A">
        <w:t>Uniformed Services University</w:t>
      </w:r>
    </w:p>
    <w:p w14:paraId="274F6E4B" w14:textId="77777777" w:rsidR="00D85459" w:rsidRDefault="00D85459" w:rsidP="00D85459">
      <w:pPr>
        <w:pStyle w:val="NoSpacing"/>
      </w:pPr>
      <w:r w:rsidRPr="001C240A">
        <w:t>4301 Jones Bridge Road, Bethesda, MD, 20814</w:t>
      </w:r>
      <w:r>
        <w:t>, USA</w:t>
      </w:r>
    </w:p>
    <w:p w14:paraId="2D46EBBE" w14:textId="77777777" w:rsidR="00D85459" w:rsidRPr="00DE12CB" w:rsidRDefault="00D85459" w:rsidP="00D85459">
      <w:pPr>
        <w:pStyle w:val="NoSpacing"/>
      </w:pPr>
    </w:p>
    <w:p w14:paraId="14CEB038" w14:textId="77777777" w:rsidR="00D85459" w:rsidRDefault="00D85459" w:rsidP="00D85459">
      <w:pPr>
        <w:pStyle w:val="NoSpacing"/>
      </w:pPr>
      <w:r w:rsidRPr="00DE12CB">
        <w:t xml:space="preserve">Natasha A. Schvey, PhD - </w:t>
      </w:r>
      <w:r w:rsidRPr="00FE5845">
        <w:t>natasha.schvey@usuhs.edu</w:t>
      </w:r>
      <w:r>
        <w:t xml:space="preserve">; </w:t>
      </w:r>
      <w:r w:rsidRPr="001C240A">
        <w:t>Uniformed Services University</w:t>
      </w:r>
    </w:p>
    <w:p w14:paraId="584AFFCD" w14:textId="77777777" w:rsidR="00D85459" w:rsidRDefault="00D85459" w:rsidP="00D85459">
      <w:pPr>
        <w:pStyle w:val="NoSpacing"/>
      </w:pPr>
      <w:r w:rsidRPr="001C240A">
        <w:t>4301 Jones Bridge Road, Bethesda, MD, 20814</w:t>
      </w:r>
      <w:r>
        <w:t>, USA</w:t>
      </w:r>
    </w:p>
    <w:p w14:paraId="504442CC" w14:textId="77777777" w:rsidR="00D85459" w:rsidRPr="00DE12CB" w:rsidRDefault="00D85459" w:rsidP="00D85459">
      <w:pPr>
        <w:pStyle w:val="NoSpacing"/>
      </w:pPr>
    </w:p>
    <w:p w14:paraId="65C37874" w14:textId="77777777" w:rsidR="00D85459" w:rsidRDefault="00D85459" w:rsidP="00D85459">
      <w:pPr>
        <w:rPr>
          <w:iCs/>
        </w:rPr>
      </w:pPr>
    </w:p>
    <w:p w14:paraId="16F0ED02" w14:textId="77777777" w:rsidR="00D85459" w:rsidRDefault="00D85459" w:rsidP="00D85459">
      <w:pPr>
        <w:rPr>
          <w:iCs/>
        </w:rPr>
      </w:pPr>
      <w:r w:rsidRPr="00DD5E8D">
        <w:rPr>
          <w:b/>
          <w:bCs/>
          <w:iCs/>
        </w:rPr>
        <w:t>Key Words:</w:t>
      </w:r>
      <w:r>
        <w:rPr>
          <w:iCs/>
        </w:rPr>
        <w:t xml:space="preserve"> LGBT, suicidal behaviors, suicide, parent, transgender, children</w:t>
      </w:r>
    </w:p>
    <w:p w14:paraId="33C12AA9" w14:textId="77777777" w:rsidR="00D85459" w:rsidRDefault="00D85459" w:rsidP="00D85459">
      <w:pPr>
        <w:rPr>
          <w:iCs/>
        </w:rPr>
      </w:pPr>
    </w:p>
    <w:p w14:paraId="148E736F" w14:textId="77777777" w:rsidR="00D85459" w:rsidRPr="0030321B" w:rsidRDefault="00D85459" w:rsidP="00D85459">
      <w:pPr>
        <w:pStyle w:val="NoSpacing"/>
        <w:spacing w:line="480" w:lineRule="auto"/>
        <w:rPr>
          <w:b/>
        </w:rPr>
      </w:pPr>
      <w:r w:rsidRPr="0030321B">
        <w:rPr>
          <w:b/>
        </w:rPr>
        <w:t>Acknowledgements</w:t>
      </w:r>
      <w:r>
        <w:rPr>
          <w:b/>
        </w:rPr>
        <w:t xml:space="preserve">: </w:t>
      </w:r>
      <w:r w:rsidRPr="00C55553">
        <w:rPr>
          <w:bCs/>
        </w:rPr>
        <w:t>none</w:t>
      </w:r>
    </w:p>
    <w:p w14:paraId="37EF1B3A" w14:textId="77777777" w:rsidR="00D85459" w:rsidRDefault="00D85459" w:rsidP="00D85459">
      <w:pPr>
        <w:pStyle w:val="NoSpacing"/>
        <w:spacing w:line="480" w:lineRule="auto"/>
        <w:rPr>
          <w:b/>
          <w:bCs/>
          <w:iCs/>
        </w:rPr>
      </w:pPr>
      <w:r>
        <w:rPr>
          <w:b/>
          <w:bCs/>
          <w:iCs/>
        </w:rPr>
        <w:lastRenderedPageBreak/>
        <w:t xml:space="preserve">Reprints: </w:t>
      </w:r>
      <w:r w:rsidRPr="009D4902">
        <w:rPr>
          <w:iCs/>
        </w:rPr>
        <w:t>Reprints are not available from the authors</w:t>
      </w:r>
    </w:p>
    <w:p w14:paraId="6AF458DC" w14:textId="77777777" w:rsidR="00D85459" w:rsidRDefault="00D85459" w:rsidP="00D85459">
      <w:pPr>
        <w:pStyle w:val="NoSpacing"/>
        <w:spacing w:line="480" w:lineRule="auto"/>
      </w:pPr>
      <w:r w:rsidRPr="00C55553">
        <w:rPr>
          <w:b/>
          <w:bCs/>
          <w:iCs/>
        </w:rPr>
        <w:t>Disclaimers:</w:t>
      </w:r>
      <w:r w:rsidRPr="001C240A">
        <w:t xml:space="preserve"> The opinions and assertions expressed herein are those of the authors and are not to be construed as reflecting the views of Uniformed Services University (USU), the Department of the Air Force</w:t>
      </w:r>
      <w:r>
        <w:t xml:space="preserve">, </w:t>
      </w:r>
      <w:r w:rsidRPr="001C240A">
        <w:t>the United States Department of Defense</w:t>
      </w:r>
      <w:r>
        <w:t>, or the U.S. Government.</w:t>
      </w:r>
    </w:p>
    <w:p w14:paraId="3B01D321" w14:textId="77777777" w:rsidR="00D85459" w:rsidRDefault="00D85459" w:rsidP="00D85459">
      <w:pPr>
        <w:spacing w:line="480" w:lineRule="auto"/>
        <w:rPr>
          <w:i/>
          <w:iCs/>
        </w:rPr>
      </w:pPr>
    </w:p>
    <w:p w14:paraId="500D5F58" w14:textId="77777777" w:rsidR="00D85459" w:rsidRDefault="00D85459" w:rsidP="00D85459">
      <w:pPr>
        <w:pStyle w:val="NoSpacing"/>
        <w:spacing w:line="480" w:lineRule="auto"/>
      </w:pPr>
      <w:r>
        <w:t>Title 17 U.S.C. 105 provides that 'Copyright protection under this title is not available for any work of the United States Government.' Title 17 U.S.C. 101 defines a United States Government work as a work prepared by a military service member or employee of the United States Government as part of that person's official duties.</w:t>
      </w:r>
    </w:p>
    <w:p w14:paraId="2C0FA250" w14:textId="77777777" w:rsidR="00D85459" w:rsidRDefault="00D85459" w:rsidP="00D85459">
      <w:pPr>
        <w:spacing w:line="480" w:lineRule="auto"/>
        <w:rPr>
          <w:i/>
          <w:iCs/>
        </w:rPr>
      </w:pPr>
    </w:p>
    <w:p w14:paraId="6ED2ADC1" w14:textId="77777777" w:rsidR="00D85459" w:rsidRDefault="00D85459" w:rsidP="00D85459">
      <w:pPr>
        <w:pStyle w:val="NoSpacing"/>
        <w:spacing w:line="480" w:lineRule="auto"/>
        <w:rPr>
          <w:b/>
        </w:rPr>
      </w:pPr>
      <w:r>
        <w:rPr>
          <w:b/>
        </w:rPr>
        <w:t>Author Disclosure Statement</w:t>
      </w:r>
    </w:p>
    <w:p w14:paraId="2360A506" w14:textId="77777777" w:rsidR="00D85459" w:rsidRPr="00207BD0" w:rsidRDefault="00D85459" w:rsidP="00D85459">
      <w:pPr>
        <w:pStyle w:val="NoSpacing"/>
        <w:spacing w:line="480" w:lineRule="auto"/>
        <w:rPr>
          <w:rStyle w:val="Strong"/>
          <w:b w:val="0"/>
          <w:bCs w:val="0"/>
          <w:i/>
        </w:rPr>
      </w:pPr>
      <w:r>
        <w:rPr>
          <w:rStyle w:val="Strong"/>
          <w:bdr w:val="none" w:sz="0" w:space="0" w:color="auto" w:frame="1"/>
        </w:rPr>
        <w:t>Funding/Research Support:</w:t>
      </w:r>
      <w:r>
        <w:t xml:space="preserve"> The research did not receive any specific grant from funding agencies in the public, commercial, or not-for-profit sectors. There are no acknowledgements of support or assistance.</w:t>
      </w:r>
    </w:p>
    <w:p w14:paraId="4DA79DD6" w14:textId="77777777" w:rsidR="00D85459" w:rsidRDefault="00D85459" w:rsidP="00D85459">
      <w:pPr>
        <w:pStyle w:val="NoSpacing"/>
        <w:spacing w:line="480" w:lineRule="auto"/>
      </w:pPr>
      <w:r>
        <w:rPr>
          <w:rStyle w:val="Strong"/>
          <w:bdr w:val="none" w:sz="0" w:space="0" w:color="auto" w:frame="1"/>
        </w:rPr>
        <w:t>Conflict of Interest Disclosures (includes financial disclosures):</w:t>
      </w:r>
      <w:r>
        <w:t xml:space="preserve"> The authors have no relevant conflicts of interest to disclose.</w:t>
      </w:r>
      <w:r w:rsidRPr="001C240A">
        <w:t xml:space="preserve"> </w:t>
      </w:r>
    </w:p>
    <w:p w14:paraId="325EFF99" w14:textId="77777777" w:rsidR="00D85459" w:rsidRPr="001C240A" w:rsidRDefault="00D85459" w:rsidP="00D85459">
      <w:pPr>
        <w:pStyle w:val="NoSpacing"/>
        <w:spacing w:line="480" w:lineRule="auto"/>
      </w:pPr>
      <w:r w:rsidRPr="003D58D1">
        <w:rPr>
          <w:b/>
          <w:bCs/>
          <w:iCs/>
        </w:rPr>
        <w:t>Abbreviations:</w:t>
      </w:r>
      <w:r w:rsidRPr="001C240A">
        <w:t xml:space="preserve"> K-SADS - Kiddie Schedule for Affective Disorders and Schizophrenia; SGM – sexual and gender minority</w:t>
      </w:r>
    </w:p>
    <w:p w14:paraId="018056CB" w14:textId="77777777" w:rsidR="00D85459" w:rsidRDefault="00D85459" w:rsidP="00D85459">
      <w:pPr>
        <w:spacing w:line="480" w:lineRule="auto"/>
        <w:rPr>
          <w:i/>
          <w:iCs/>
        </w:rPr>
      </w:pPr>
    </w:p>
    <w:p w14:paraId="338E64CA" w14:textId="77777777" w:rsidR="00D85459" w:rsidRPr="001C240A" w:rsidRDefault="00D85459" w:rsidP="00D85459">
      <w:pPr>
        <w:spacing w:line="480" w:lineRule="auto"/>
      </w:pPr>
      <w:r w:rsidRPr="00C55553">
        <w:rPr>
          <w:b/>
          <w:bCs/>
        </w:rPr>
        <w:t>Additional Information:</w:t>
      </w:r>
      <w:r w:rsidRPr="001C240A">
        <w:t xml:space="preserve"> Data used in the preparation of this article were obtained from the Adolescent Brain Cognitive Development (ABCD) Study (https://abcdstudy.org), held in the National Institute of Mental Health Data Archive (NDA). This is a multisite, longitudinal study designed to recruit more than 10,000 children aged 9 to 10 years and follow-up with them over </w:t>
      </w:r>
      <w:r w:rsidRPr="001C240A">
        <w:lastRenderedPageBreak/>
        <w:t>10 years into early adulthood. The ABCD Study is supported by the National Institutes of Health and additional federal partners under award numbers U01DA041022, U01DA041028, U01DA041048, U01DA041089, U01DA041106, U01DA041117, U01DA041120, U01DA041134, U01DA041148, U01DA041156, U01DA041174, U24DA041123, and U24DA041147. A full list of supporters is available at https://abcdstudy.org/federal-partners/. A listing of participating sites and a complete listing of the study investigators can be found at https://abcdstudy.org/principal-investigators.html. ABCD consortium investigators designed and implemented the study and/or provided data but did not necessarily participate in analysis or writing of this report. This article reflects the views of the authors and may not reflect the opinions or views of the National Institutes of Health or ABCD consortium investigators. The ABCD data repository grows and changes over time.</w:t>
      </w:r>
    </w:p>
    <w:p w14:paraId="78BD7851" w14:textId="77777777" w:rsidR="00D85459" w:rsidRDefault="00D85459" w:rsidP="00D85459"/>
    <w:p w14:paraId="747118B3" w14:textId="0FC2A47D" w:rsidR="00D85459" w:rsidRDefault="00D85459" w:rsidP="00D704A3">
      <w:pPr>
        <w:jc w:val="center"/>
        <w:rPr>
          <w:b/>
        </w:rPr>
      </w:pPr>
    </w:p>
    <w:p w14:paraId="392CFE04" w14:textId="1364FEEE" w:rsidR="00D85459" w:rsidRDefault="00D85459" w:rsidP="00D704A3">
      <w:pPr>
        <w:jc w:val="center"/>
        <w:rPr>
          <w:b/>
        </w:rPr>
      </w:pPr>
    </w:p>
    <w:p w14:paraId="2494B7B8" w14:textId="0F83DB2A" w:rsidR="00D85459" w:rsidRDefault="00D85459" w:rsidP="00D704A3">
      <w:pPr>
        <w:jc w:val="center"/>
        <w:rPr>
          <w:b/>
        </w:rPr>
      </w:pPr>
    </w:p>
    <w:p w14:paraId="507B9BE5" w14:textId="56800806" w:rsidR="00D85459" w:rsidRDefault="00D85459" w:rsidP="00D704A3">
      <w:pPr>
        <w:jc w:val="center"/>
        <w:rPr>
          <w:b/>
        </w:rPr>
      </w:pPr>
    </w:p>
    <w:p w14:paraId="08C0B61C" w14:textId="749A7E5B" w:rsidR="00D85459" w:rsidRDefault="00D85459" w:rsidP="00D704A3">
      <w:pPr>
        <w:jc w:val="center"/>
        <w:rPr>
          <w:b/>
        </w:rPr>
      </w:pPr>
    </w:p>
    <w:p w14:paraId="65EE698F" w14:textId="3E638AB7" w:rsidR="00D85459" w:rsidRDefault="00D85459" w:rsidP="00D704A3">
      <w:pPr>
        <w:jc w:val="center"/>
        <w:rPr>
          <w:b/>
        </w:rPr>
      </w:pPr>
    </w:p>
    <w:p w14:paraId="0BCD5524" w14:textId="704E1DE4" w:rsidR="00D85459" w:rsidRDefault="00D85459" w:rsidP="00D704A3">
      <w:pPr>
        <w:jc w:val="center"/>
        <w:rPr>
          <w:b/>
        </w:rPr>
      </w:pPr>
    </w:p>
    <w:p w14:paraId="7FDDA39E" w14:textId="2AA628FC" w:rsidR="00D85459" w:rsidRDefault="00D85459" w:rsidP="00D704A3">
      <w:pPr>
        <w:jc w:val="center"/>
        <w:rPr>
          <w:b/>
        </w:rPr>
      </w:pPr>
    </w:p>
    <w:p w14:paraId="437F0A43" w14:textId="5FC80DD2" w:rsidR="00D85459" w:rsidRDefault="00D85459" w:rsidP="00D704A3">
      <w:pPr>
        <w:jc w:val="center"/>
        <w:rPr>
          <w:b/>
        </w:rPr>
      </w:pPr>
    </w:p>
    <w:p w14:paraId="18C70F67" w14:textId="5EB3A699" w:rsidR="00D85459" w:rsidRDefault="00D85459" w:rsidP="00D704A3">
      <w:pPr>
        <w:jc w:val="center"/>
        <w:rPr>
          <w:b/>
        </w:rPr>
      </w:pPr>
    </w:p>
    <w:p w14:paraId="2D0B308C" w14:textId="2749A169" w:rsidR="00D85459" w:rsidRDefault="00D85459" w:rsidP="00D704A3">
      <w:pPr>
        <w:jc w:val="center"/>
        <w:rPr>
          <w:b/>
        </w:rPr>
      </w:pPr>
    </w:p>
    <w:p w14:paraId="4EC20E6A" w14:textId="7136DFA3" w:rsidR="00D85459" w:rsidRDefault="00D85459" w:rsidP="00D704A3">
      <w:pPr>
        <w:jc w:val="center"/>
        <w:rPr>
          <w:b/>
        </w:rPr>
      </w:pPr>
    </w:p>
    <w:p w14:paraId="612E6C85" w14:textId="5580BC3E" w:rsidR="00D85459" w:rsidRDefault="00D85459" w:rsidP="00D704A3">
      <w:pPr>
        <w:jc w:val="center"/>
        <w:rPr>
          <w:b/>
        </w:rPr>
      </w:pPr>
    </w:p>
    <w:p w14:paraId="46C27755" w14:textId="3CCE48C3" w:rsidR="00D85459" w:rsidRDefault="00D85459" w:rsidP="00D704A3">
      <w:pPr>
        <w:jc w:val="center"/>
        <w:rPr>
          <w:b/>
        </w:rPr>
      </w:pPr>
    </w:p>
    <w:p w14:paraId="50CA2433" w14:textId="5260120C" w:rsidR="00D85459" w:rsidRDefault="00D85459" w:rsidP="00D704A3">
      <w:pPr>
        <w:jc w:val="center"/>
        <w:rPr>
          <w:b/>
        </w:rPr>
      </w:pPr>
    </w:p>
    <w:p w14:paraId="4AA1451A" w14:textId="7117F343" w:rsidR="00D85459" w:rsidRDefault="00D85459" w:rsidP="00D704A3">
      <w:pPr>
        <w:jc w:val="center"/>
        <w:rPr>
          <w:b/>
        </w:rPr>
      </w:pPr>
    </w:p>
    <w:p w14:paraId="3EDC5810" w14:textId="3AB1F24A" w:rsidR="00D85459" w:rsidRDefault="00D85459" w:rsidP="00D704A3">
      <w:pPr>
        <w:jc w:val="center"/>
        <w:rPr>
          <w:b/>
        </w:rPr>
      </w:pPr>
    </w:p>
    <w:p w14:paraId="57A8C212" w14:textId="21878761" w:rsidR="00D85459" w:rsidRDefault="00D85459" w:rsidP="00D704A3">
      <w:pPr>
        <w:jc w:val="center"/>
        <w:rPr>
          <w:b/>
        </w:rPr>
      </w:pPr>
    </w:p>
    <w:p w14:paraId="67615C3E" w14:textId="56E438A7" w:rsidR="00D85459" w:rsidRDefault="00D85459" w:rsidP="00D704A3">
      <w:pPr>
        <w:jc w:val="center"/>
        <w:rPr>
          <w:b/>
        </w:rPr>
      </w:pPr>
    </w:p>
    <w:p w14:paraId="234C7164" w14:textId="7B5D1D7D" w:rsidR="00D85459" w:rsidRDefault="00D85459" w:rsidP="00D704A3">
      <w:pPr>
        <w:jc w:val="center"/>
        <w:rPr>
          <w:b/>
        </w:rPr>
      </w:pPr>
    </w:p>
    <w:p w14:paraId="3E413E18" w14:textId="77777777" w:rsidR="00D85459" w:rsidRDefault="00D85459" w:rsidP="00D704A3">
      <w:pPr>
        <w:jc w:val="center"/>
        <w:rPr>
          <w:b/>
        </w:rPr>
      </w:pPr>
    </w:p>
    <w:p w14:paraId="30656F90" w14:textId="77777777" w:rsidR="00D85459" w:rsidRDefault="00D85459" w:rsidP="00D704A3">
      <w:pPr>
        <w:jc w:val="center"/>
        <w:rPr>
          <w:b/>
        </w:rPr>
      </w:pPr>
    </w:p>
    <w:p w14:paraId="615EEBF2" w14:textId="5DCA2E77" w:rsidR="00D704A3" w:rsidRDefault="00D704A3" w:rsidP="00D704A3">
      <w:pPr>
        <w:jc w:val="center"/>
      </w:pPr>
      <w:r w:rsidRPr="001C240A">
        <w:rPr>
          <w:b/>
        </w:rPr>
        <w:lastRenderedPageBreak/>
        <w:t xml:space="preserve">The Mediating Role of Family Acceptance </w:t>
      </w:r>
      <w:r w:rsidRPr="003179C7">
        <w:rPr>
          <w:rFonts w:eastAsiaTheme="minorHAnsi"/>
          <w:b/>
          <w:color w:val="000000"/>
        </w:rPr>
        <w:t xml:space="preserve">and Conflict </w:t>
      </w:r>
      <w:r w:rsidRPr="001C240A">
        <w:rPr>
          <w:b/>
        </w:rPr>
        <w:t>on Suicidality among Sexual and Gender Minority Youth</w:t>
      </w:r>
      <w:r w:rsidRPr="001C240A">
        <w:t xml:space="preserve"> </w:t>
      </w:r>
    </w:p>
    <w:p w14:paraId="127DB9E7" w14:textId="58A5D30A" w:rsidR="00D704A3" w:rsidRDefault="00D704A3" w:rsidP="00CF0116"/>
    <w:p w14:paraId="37FEC75F" w14:textId="77777777" w:rsidR="00D704A3" w:rsidRPr="006B14D1" w:rsidRDefault="00D704A3" w:rsidP="00CF0116"/>
    <w:p w14:paraId="1E205428" w14:textId="49DB51DB" w:rsidR="005F109A" w:rsidRPr="005F109A" w:rsidRDefault="008A5A2E" w:rsidP="005F109A">
      <w:pPr>
        <w:spacing w:line="480" w:lineRule="auto"/>
        <w:jc w:val="center"/>
        <w:rPr>
          <w:b/>
          <w:bCs/>
          <w:color w:val="212121"/>
          <w:shd w:val="clear" w:color="auto" w:fill="FFFFFF"/>
        </w:rPr>
      </w:pPr>
      <w:r w:rsidRPr="00AF12D7">
        <w:rPr>
          <w:b/>
          <w:bCs/>
          <w:color w:val="212121"/>
          <w:shd w:val="clear" w:color="auto" w:fill="FFFFFF"/>
        </w:rPr>
        <w:t>Abstract</w:t>
      </w:r>
    </w:p>
    <w:p w14:paraId="57082EAF" w14:textId="77777777" w:rsidR="001B0976" w:rsidRDefault="001B0976" w:rsidP="005F109A">
      <w:pPr>
        <w:spacing w:line="480" w:lineRule="auto"/>
        <w:rPr>
          <w:rFonts w:eastAsiaTheme="minorHAnsi"/>
          <w:color w:val="000000"/>
        </w:rPr>
      </w:pPr>
      <w:r w:rsidRPr="001B0976">
        <w:rPr>
          <w:rFonts w:eastAsiaTheme="minorHAnsi"/>
          <w:b/>
          <w:color w:val="000000"/>
        </w:rPr>
        <w:t>Introduction:</w:t>
      </w:r>
      <w:r>
        <w:rPr>
          <w:rFonts w:eastAsiaTheme="minorHAnsi"/>
          <w:color w:val="000000"/>
        </w:rPr>
        <w:t xml:space="preserve"> </w:t>
      </w:r>
      <w:r w:rsidR="005F109A" w:rsidRPr="009029AC">
        <w:rPr>
          <w:rFonts w:eastAsiaTheme="minorHAnsi"/>
          <w:color w:val="000000"/>
        </w:rPr>
        <w:t>Prior research suggests sexual and gender minority (SGM) youth are profoundly impacted by levels of parental support. This study assessed mediating effects of generalized family acceptance and conflict on lifetime suicidal behaviors among a large diverse sample comprising both SGM and non-SGM youth in early adolescence, when intervention to optimize fa</w:t>
      </w:r>
      <w:r>
        <w:rPr>
          <w:rFonts w:eastAsiaTheme="minorHAnsi"/>
          <w:color w:val="000000"/>
        </w:rPr>
        <w:t xml:space="preserve">mily dynamics may be critical. </w:t>
      </w:r>
    </w:p>
    <w:p w14:paraId="0BF523B1" w14:textId="72C0C88D" w:rsidR="001B0976" w:rsidRDefault="00EA68FB" w:rsidP="005F109A">
      <w:pPr>
        <w:spacing w:line="480" w:lineRule="auto"/>
        <w:rPr>
          <w:rFonts w:eastAsiaTheme="minorHAnsi"/>
          <w:color w:val="000000"/>
        </w:rPr>
      </w:pPr>
      <w:r>
        <w:rPr>
          <w:rFonts w:eastAsiaTheme="minorHAnsi"/>
          <w:b/>
          <w:color w:val="000000"/>
        </w:rPr>
        <w:t>Materials</w:t>
      </w:r>
      <w:r w:rsidR="001B0976" w:rsidRPr="001B0976">
        <w:rPr>
          <w:rFonts w:eastAsiaTheme="minorHAnsi"/>
          <w:b/>
          <w:color w:val="000000"/>
        </w:rPr>
        <w:t>:</w:t>
      </w:r>
      <w:r w:rsidR="001B0976">
        <w:rPr>
          <w:rFonts w:eastAsiaTheme="minorHAnsi"/>
          <w:color w:val="000000"/>
        </w:rPr>
        <w:t xml:space="preserve"> </w:t>
      </w:r>
      <w:r w:rsidR="005F109A" w:rsidRPr="009029AC">
        <w:rPr>
          <w:rFonts w:eastAsiaTheme="minorHAnsi"/>
          <w:color w:val="000000"/>
        </w:rPr>
        <w:t>Using data from the first-year follow-up of the Adolescent Brain Cognitive Development Study</w:t>
      </w:r>
      <w:r w:rsidR="001B0976">
        <w:rPr>
          <w:rFonts w:eastAsiaTheme="minorHAnsi"/>
          <w:color w:val="000000"/>
        </w:rPr>
        <w:t xml:space="preserve"> based in the United States</w:t>
      </w:r>
      <w:r w:rsidR="005F109A" w:rsidRPr="009029AC">
        <w:rPr>
          <w:rFonts w:eastAsiaTheme="minorHAnsi"/>
          <w:color w:val="000000"/>
        </w:rPr>
        <w:t xml:space="preserve">, </w:t>
      </w:r>
      <w:r w:rsidR="005F109A" w:rsidRPr="009029AC">
        <w:t xml:space="preserve">mediation was tested using a binary logistic regression model fitted with a generalized structural equation. </w:t>
      </w:r>
      <w:r w:rsidR="00AC1198">
        <w:t>M</w:t>
      </w:r>
      <w:r w:rsidR="005F109A" w:rsidRPr="009029AC">
        <w:t>odel</w:t>
      </w:r>
      <w:r w:rsidR="00AC1198">
        <w:t>s</w:t>
      </w:r>
      <w:r w:rsidR="005F109A" w:rsidRPr="009029AC">
        <w:t xml:space="preserve"> included SGM status as the independent variable, family acceptance or family conflict sum score as the mediator, and the presence of lifetime suicidal behaviors as the dependent variable.</w:t>
      </w:r>
      <w:r w:rsidR="00AC1198">
        <w:t xml:space="preserve"> Models adjusted for </w:t>
      </w:r>
      <w:r w:rsidR="00AC1198" w:rsidRPr="001C240A">
        <w:t>age, birth-assigned sex</w:t>
      </w:r>
      <w:r w:rsidR="00AC1198">
        <w:t xml:space="preserve"> (as reported by the parent/guardian)</w:t>
      </w:r>
      <w:r w:rsidR="00AC1198" w:rsidRPr="001C240A">
        <w:t>, and race/ethnicity</w:t>
      </w:r>
      <w:r w:rsidR="00AC1198">
        <w:t>.</w:t>
      </w:r>
      <w:r w:rsidR="001B0976">
        <w:rPr>
          <w:rFonts w:eastAsiaTheme="minorHAnsi"/>
          <w:color w:val="000000"/>
        </w:rPr>
        <w:t xml:space="preserve"> </w:t>
      </w:r>
    </w:p>
    <w:p w14:paraId="18F3A8F2" w14:textId="77777777" w:rsidR="001B0976" w:rsidRDefault="001B0976" w:rsidP="005F109A">
      <w:pPr>
        <w:spacing w:line="480" w:lineRule="auto"/>
        <w:rPr>
          <w:rFonts w:eastAsiaTheme="minorHAnsi"/>
          <w:color w:val="000000"/>
        </w:rPr>
      </w:pPr>
      <w:r w:rsidRPr="001B0976">
        <w:rPr>
          <w:rFonts w:eastAsiaTheme="minorHAnsi"/>
          <w:b/>
          <w:color w:val="000000"/>
        </w:rPr>
        <w:t>Results:</w:t>
      </w:r>
      <w:r>
        <w:rPr>
          <w:rFonts w:eastAsiaTheme="minorHAnsi"/>
          <w:color w:val="000000"/>
        </w:rPr>
        <w:t xml:space="preserve"> </w:t>
      </w:r>
      <w:r w:rsidR="005F109A" w:rsidRPr="009029AC">
        <w:rPr>
          <w:bCs/>
        </w:rPr>
        <w:t xml:space="preserve">Of 11,235 youths, lifetime suicidal behaviors were reported by 1.5% (n = 164). </w:t>
      </w:r>
      <w:r w:rsidR="00AC1198">
        <w:t>Y</w:t>
      </w:r>
      <w:r w:rsidR="005F109A" w:rsidRPr="009029AC">
        <w:t>ouths with SGM identities report</w:t>
      </w:r>
      <w:r w:rsidR="00AC1198">
        <w:t>ed</w:t>
      </w:r>
      <w:r w:rsidR="005F109A" w:rsidRPr="009029AC">
        <w:t xml:space="preserve"> 40% less parental acceptance and 47% greater family conflict, compared to non-SGM peers.</w:t>
      </w:r>
      <w:r w:rsidR="005F109A" w:rsidRPr="009029AC">
        <w:rPr>
          <w:bCs/>
        </w:rPr>
        <w:t xml:space="preserve"> </w:t>
      </w:r>
      <w:r w:rsidR="00AC1198">
        <w:rPr>
          <w:bCs/>
        </w:rPr>
        <w:t>Both p</w:t>
      </w:r>
      <w:r w:rsidR="005F109A" w:rsidRPr="009029AC">
        <w:rPr>
          <w:bCs/>
        </w:rPr>
        <w:t xml:space="preserve">arental acceptance and family conflict partially mediated associations between SGM identification and </w:t>
      </w:r>
      <w:r w:rsidR="006454A9">
        <w:rPr>
          <w:bCs/>
        </w:rPr>
        <w:t xml:space="preserve">odds of </w:t>
      </w:r>
      <w:r w:rsidR="005F109A" w:rsidRPr="009029AC">
        <w:rPr>
          <w:bCs/>
        </w:rPr>
        <w:t xml:space="preserve">lifetime suicidal behavior </w:t>
      </w:r>
      <w:r w:rsidR="005F109A" w:rsidRPr="009029AC">
        <w:t>(</w:t>
      </w:r>
      <w:proofErr w:type="spellStart"/>
      <w:r w:rsidR="005F109A" w:rsidRPr="00AC1198">
        <w:rPr>
          <w:i/>
        </w:rPr>
        <w:t>p</w:t>
      </w:r>
      <w:r w:rsidR="005F109A" w:rsidRPr="009029AC">
        <w:t>s</w:t>
      </w:r>
      <w:proofErr w:type="spellEnd"/>
      <w:r w:rsidR="005F109A" w:rsidRPr="009029AC">
        <w:t>=.001).</w:t>
      </w:r>
      <w:r>
        <w:rPr>
          <w:rFonts w:eastAsiaTheme="minorHAnsi"/>
          <w:color w:val="000000"/>
        </w:rPr>
        <w:t xml:space="preserve"> </w:t>
      </w:r>
    </w:p>
    <w:p w14:paraId="5599423A" w14:textId="79FE6EFE" w:rsidR="001B0976" w:rsidRDefault="001B0976" w:rsidP="00635451">
      <w:pPr>
        <w:spacing w:line="480" w:lineRule="auto"/>
      </w:pPr>
      <w:r w:rsidRPr="001B0976">
        <w:rPr>
          <w:rFonts w:eastAsiaTheme="minorHAnsi"/>
          <w:b/>
          <w:color w:val="000000"/>
        </w:rPr>
        <w:t>Conclusions:</w:t>
      </w:r>
      <w:r>
        <w:rPr>
          <w:rFonts w:eastAsiaTheme="minorHAnsi"/>
          <w:color w:val="000000"/>
        </w:rPr>
        <w:t xml:space="preserve"> </w:t>
      </w:r>
      <w:r w:rsidR="005F109A" w:rsidRPr="009029AC">
        <w:t>Identification of modifiable risk factors for suicidality in this vulnerable population</w:t>
      </w:r>
      <w:r w:rsidR="00787654">
        <w:t>, including parental acceptance and family conflict,</w:t>
      </w:r>
      <w:r w:rsidR="005F109A" w:rsidRPr="009029AC">
        <w:t xml:space="preserve"> is critical to improving </w:t>
      </w:r>
      <w:r w:rsidR="00787654">
        <w:t xml:space="preserve">health </w:t>
      </w:r>
      <w:r w:rsidR="005F109A" w:rsidRPr="009029AC">
        <w:t>outcomes.</w:t>
      </w:r>
      <w:r>
        <w:rPr>
          <w:rFonts w:eastAsiaTheme="minorHAnsi"/>
          <w:color w:val="000000"/>
        </w:rPr>
        <w:t xml:space="preserve"> </w:t>
      </w:r>
      <w:r w:rsidR="005F109A" w:rsidRPr="009029AC">
        <w:t>Clinicians</w:t>
      </w:r>
      <w:r w:rsidR="005F109A" w:rsidRPr="001C240A">
        <w:t xml:space="preserve"> should work with SGM youth and their families starting in childhood to optimize family dynamics and bolster acceptance to potentially reduce adverse health outcomes.</w:t>
      </w:r>
    </w:p>
    <w:p w14:paraId="3558FF0A" w14:textId="77777777" w:rsidR="00DE066F" w:rsidRDefault="00DE066F" w:rsidP="001B0976">
      <w:pPr>
        <w:rPr>
          <w:b/>
          <w:bCs/>
          <w:iCs/>
        </w:rPr>
      </w:pPr>
    </w:p>
    <w:p w14:paraId="652DA7FA" w14:textId="77777777" w:rsidR="00DE066F" w:rsidRDefault="00DE066F" w:rsidP="001B0976">
      <w:pPr>
        <w:rPr>
          <w:b/>
          <w:bCs/>
          <w:iCs/>
        </w:rPr>
      </w:pPr>
    </w:p>
    <w:p w14:paraId="409DF62E" w14:textId="323CE518" w:rsidR="001B0976" w:rsidRDefault="001B0976" w:rsidP="001B0976">
      <w:pPr>
        <w:rPr>
          <w:iCs/>
        </w:rPr>
      </w:pPr>
      <w:r w:rsidRPr="00DD5E8D">
        <w:rPr>
          <w:b/>
          <w:bCs/>
          <w:iCs/>
        </w:rPr>
        <w:lastRenderedPageBreak/>
        <w:t>Key Words:</w:t>
      </w:r>
      <w:r>
        <w:rPr>
          <w:iCs/>
        </w:rPr>
        <w:t xml:space="preserve"> LGBT, suicidal behaviors, suicide, parent, transgender, children, adolescents</w:t>
      </w:r>
    </w:p>
    <w:p w14:paraId="30F50BB9" w14:textId="4B3EEA6B" w:rsidR="001B0976" w:rsidRDefault="001B0976" w:rsidP="00635451">
      <w:pPr>
        <w:spacing w:line="480" w:lineRule="auto"/>
        <w:rPr>
          <w:rFonts w:eastAsiaTheme="minorHAnsi"/>
          <w:color w:val="000000"/>
        </w:rPr>
      </w:pPr>
    </w:p>
    <w:p w14:paraId="743D9816" w14:textId="77777777" w:rsidR="00BA77FB" w:rsidRDefault="00BA77FB" w:rsidP="00635451">
      <w:pPr>
        <w:spacing w:line="480" w:lineRule="auto"/>
        <w:rPr>
          <w:rFonts w:eastAsiaTheme="minorHAnsi"/>
          <w:b/>
          <w:bCs/>
          <w:color w:val="000000"/>
        </w:rPr>
      </w:pPr>
    </w:p>
    <w:p w14:paraId="47B3DC3E" w14:textId="41B5BDC2" w:rsidR="001B0976" w:rsidRPr="00BA77FB" w:rsidRDefault="00DE066F" w:rsidP="00635451">
      <w:pPr>
        <w:spacing w:line="480" w:lineRule="auto"/>
        <w:rPr>
          <w:rFonts w:eastAsiaTheme="minorHAnsi"/>
          <w:b/>
          <w:bCs/>
          <w:color w:val="000000"/>
        </w:rPr>
      </w:pPr>
      <w:r w:rsidRPr="00BA77FB">
        <w:rPr>
          <w:rFonts w:eastAsiaTheme="minorHAnsi"/>
          <w:b/>
          <w:bCs/>
          <w:color w:val="000000"/>
        </w:rPr>
        <w:t>Highlights:</w:t>
      </w:r>
    </w:p>
    <w:p w14:paraId="389CA852" w14:textId="7E3C3AE7" w:rsidR="00DE066F" w:rsidRPr="00BA77FB" w:rsidRDefault="00BA77FB" w:rsidP="00DE066F">
      <w:pPr>
        <w:pStyle w:val="Default"/>
        <w:spacing w:line="480" w:lineRule="auto"/>
        <w:rPr>
          <w:rFonts w:eastAsia="Times New Roman"/>
          <w:bCs/>
        </w:rPr>
      </w:pPr>
      <w:r>
        <w:t>Youths with SGM identity</w:t>
      </w:r>
      <w:r w:rsidR="00DE066F" w:rsidRPr="00BA77FB">
        <w:t xml:space="preserve"> reported 40% less parental acceptance than </w:t>
      </w:r>
      <w:r w:rsidRPr="00BA77FB">
        <w:t>non-SGM peers.</w:t>
      </w:r>
    </w:p>
    <w:p w14:paraId="6CF216CC" w14:textId="0C73E81B" w:rsidR="00DE066F" w:rsidRPr="00BA77FB" w:rsidRDefault="006319FE" w:rsidP="00DE066F">
      <w:pPr>
        <w:pStyle w:val="Default"/>
        <w:spacing w:line="480" w:lineRule="auto"/>
        <w:rPr>
          <w:rFonts w:eastAsia="Times New Roman"/>
          <w:bCs/>
        </w:rPr>
      </w:pPr>
      <w:r>
        <w:rPr>
          <w:rFonts w:eastAsia="Times New Roman"/>
          <w:bCs/>
        </w:rPr>
        <w:t>P</w:t>
      </w:r>
      <w:r w:rsidR="00BA77FB" w:rsidRPr="00BA77FB">
        <w:rPr>
          <w:rFonts w:eastAsia="Times New Roman"/>
          <w:bCs/>
        </w:rPr>
        <w:t>arental acceptance was associated with lower odds of lifetime suicidal behaviors.</w:t>
      </w:r>
    </w:p>
    <w:p w14:paraId="4A2A06B3" w14:textId="081D0A5E" w:rsidR="00BA77FB" w:rsidRPr="00DE066F" w:rsidRDefault="00BA77FB" w:rsidP="00BA77FB">
      <w:pPr>
        <w:pStyle w:val="Default"/>
        <w:spacing w:line="480" w:lineRule="auto"/>
        <w:rPr>
          <w:rFonts w:eastAsia="Times New Roman"/>
          <w:bCs/>
          <w:highlight w:val="yellow"/>
        </w:rPr>
      </w:pPr>
      <w:r>
        <w:rPr>
          <w:bCs/>
        </w:rPr>
        <w:t>Family factors</w:t>
      </w:r>
      <w:r w:rsidRPr="009029AC">
        <w:rPr>
          <w:bCs/>
        </w:rPr>
        <w:t xml:space="preserve"> partially mediated </w:t>
      </w:r>
      <w:r>
        <w:rPr>
          <w:bCs/>
        </w:rPr>
        <w:t>SGM status and suicidal behaviors</w:t>
      </w:r>
      <w:r w:rsidR="006319FE">
        <w:rPr>
          <w:bCs/>
        </w:rPr>
        <w:t xml:space="preserve"> association</w:t>
      </w:r>
      <w:r>
        <w:rPr>
          <w:bCs/>
        </w:rPr>
        <w:t>.</w:t>
      </w:r>
    </w:p>
    <w:p w14:paraId="3B66B9F2" w14:textId="77777777" w:rsidR="006319FE" w:rsidRDefault="006319FE" w:rsidP="00635451">
      <w:pPr>
        <w:spacing w:line="480" w:lineRule="auto"/>
        <w:rPr>
          <w:rFonts w:eastAsiaTheme="minorHAnsi"/>
          <w:color w:val="000000"/>
        </w:rPr>
      </w:pPr>
    </w:p>
    <w:p w14:paraId="45246376" w14:textId="77777777" w:rsidR="006319FE" w:rsidRDefault="006319FE">
      <w:pPr>
        <w:rPr>
          <w:rFonts w:eastAsiaTheme="minorHAnsi"/>
          <w:b/>
          <w:color w:val="000000"/>
        </w:rPr>
      </w:pPr>
      <w:r>
        <w:rPr>
          <w:rFonts w:eastAsiaTheme="minorHAnsi"/>
          <w:b/>
          <w:color w:val="000000"/>
        </w:rPr>
        <w:br w:type="page"/>
      </w:r>
    </w:p>
    <w:p w14:paraId="52926A09" w14:textId="6EF842B7" w:rsidR="00007BF2" w:rsidRPr="001B0976" w:rsidRDefault="00007BF2" w:rsidP="00635451">
      <w:pPr>
        <w:spacing w:line="480" w:lineRule="auto"/>
        <w:rPr>
          <w:rFonts w:eastAsiaTheme="minorHAnsi"/>
          <w:color w:val="000000"/>
        </w:rPr>
      </w:pPr>
      <w:r w:rsidRPr="001C240A">
        <w:rPr>
          <w:rFonts w:eastAsiaTheme="minorHAnsi"/>
          <w:b/>
          <w:color w:val="000000"/>
        </w:rPr>
        <w:lastRenderedPageBreak/>
        <w:t>Intro</w:t>
      </w:r>
      <w:r w:rsidR="00F15026" w:rsidRPr="001C240A">
        <w:rPr>
          <w:rFonts w:eastAsiaTheme="minorHAnsi"/>
          <w:b/>
          <w:color w:val="000000"/>
        </w:rPr>
        <w:t>duction</w:t>
      </w:r>
    </w:p>
    <w:p w14:paraId="52F09C4C" w14:textId="2513DCDB" w:rsidR="009E6ED7" w:rsidRDefault="0010262E" w:rsidP="00635451">
      <w:pPr>
        <w:spacing w:line="480" w:lineRule="auto"/>
        <w:rPr>
          <w:rFonts w:eastAsiaTheme="minorHAnsi"/>
          <w:color w:val="000000"/>
          <w:vertAlign w:val="superscript"/>
        </w:rPr>
      </w:pPr>
      <w:r>
        <w:rPr>
          <w:rFonts w:eastAsiaTheme="minorHAnsi"/>
          <w:color w:val="000000"/>
        </w:rPr>
        <w:t>S</w:t>
      </w:r>
      <w:r w:rsidR="002C5232" w:rsidRPr="001C240A">
        <w:rPr>
          <w:rFonts w:eastAsiaTheme="minorHAnsi"/>
          <w:color w:val="000000"/>
        </w:rPr>
        <w:t>uicide rate</w:t>
      </w:r>
      <w:r w:rsidR="002E4D1F" w:rsidRPr="001C240A">
        <w:rPr>
          <w:rFonts w:eastAsiaTheme="minorHAnsi"/>
          <w:color w:val="000000"/>
        </w:rPr>
        <w:t>s</w:t>
      </w:r>
      <w:r w:rsidR="00322CE4" w:rsidRPr="001C240A">
        <w:rPr>
          <w:rFonts w:eastAsiaTheme="minorHAnsi"/>
          <w:color w:val="000000"/>
        </w:rPr>
        <w:t xml:space="preserve"> among </w:t>
      </w:r>
      <w:r w:rsidR="009C5AB7" w:rsidRPr="001C240A">
        <w:rPr>
          <w:rFonts w:eastAsiaTheme="minorHAnsi"/>
          <w:color w:val="000000"/>
        </w:rPr>
        <w:t>youth</w:t>
      </w:r>
      <w:r w:rsidR="008E6B2B" w:rsidRPr="001C240A">
        <w:rPr>
          <w:rFonts w:eastAsiaTheme="minorHAnsi"/>
          <w:color w:val="000000"/>
        </w:rPr>
        <w:t xml:space="preserve"> </w:t>
      </w:r>
      <w:r w:rsidR="002E4D1F" w:rsidRPr="001C240A">
        <w:rPr>
          <w:rFonts w:eastAsiaTheme="minorHAnsi"/>
          <w:color w:val="000000"/>
        </w:rPr>
        <w:t>are</w:t>
      </w:r>
      <w:r w:rsidR="008E6B2B" w:rsidRPr="001C240A">
        <w:rPr>
          <w:rFonts w:eastAsiaTheme="minorHAnsi"/>
          <w:color w:val="000000"/>
        </w:rPr>
        <w:t xml:space="preserve"> increasing </w:t>
      </w:r>
      <w:r>
        <w:rPr>
          <w:rFonts w:eastAsiaTheme="minorHAnsi"/>
          <w:color w:val="000000"/>
        </w:rPr>
        <w:t>in the United States</w:t>
      </w:r>
      <w:r w:rsidR="00B81099">
        <w:rPr>
          <w:rFonts w:eastAsiaTheme="minorHAnsi"/>
          <w:color w:val="000000"/>
        </w:rPr>
        <w:t xml:space="preserve"> (</w:t>
      </w:r>
      <w:r w:rsidR="00B81099" w:rsidRPr="001C240A">
        <w:rPr>
          <w:rFonts w:eastAsiaTheme="minorHAnsi"/>
        </w:rPr>
        <w:t>Curtin</w:t>
      </w:r>
      <w:r w:rsidR="00B81099">
        <w:rPr>
          <w:rFonts w:eastAsiaTheme="minorHAnsi"/>
        </w:rPr>
        <w:t xml:space="preserve">, 2020). </w:t>
      </w:r>
      <w:r w:rsidR="00B36736">
        <w:rPr>
          <w:rFonts w:eastAsiaTheme="minorHAnsi"/>
          <w:color w:val="000000"/>
          <w:vertAlign w:val="superscript"/>
        </w:rPr>
        <w:t xml:space="preserve"> </w:t>
      </w:r>
      <w:r w:rsidR="00322CE4" w:rsidRPr="001C240A">
        <w:rPr>
          <w:rFonts w:eastAsiaTheme="minorHAnsi"/>
          <w:color w:val="000000"/>
        </w:rPr>
        <w:t>One group</w:t>
      </w:r>
      <w:r w:rsidR="002C5232" w:rsidRPr="001C240A">
        <w:rPr>
          <w:rFonts w:eastAsiaTheme="minorHAnsi"/>
          <w:color w:val="000000"/>
        </w:rPr>
        <w:t xml:space="preserve"> particularly vulnerable to </w:t>
      </w:r>
      <w:r w:rsidR="001B04C4" w:rsidRPr="001C240A">
        <w:rPr>
          <w:rFonts w:eastAsiaTheme="minorHAnsi"/>
          <w:color w:val="000000"/>
        </w:rPr>
        <w:t xml:space="preserve">suicidal behaviors </w:t>
      </w:r>
      <w:r w:rsidR="002E4D1F" w:rsidRPr="001C240A">
        <w:rPr>
          <w:rFonts w:eastAsiaTheme="minorHAnsi"/>
          <w:color w:val="000000"/>
        </w:rPr>
        <w:t xml:space="preserve">and other adverse mental health outcomes </w:t>
      </w:r>
      <w:r w:rsidR="009C5AB7" w:rsidRPr="001C240A">
        <w:rPr>
          <w:rFonts w:eastAsiaTheme="minorHAnsi"/>
          <w:color w:val="000000"/>
        </w:rPr>
        <w:t>is sexual and gender minority</w:t>
      </w:r>
      <w:r w:rsidR="00322CE4" w:rsidRPr="001C240A">
        <w:rPr>
          <w:rFonts w:eastAsiaTheme="minorHAnsi"/>
          <w:color w:val="000000"/>
        </w:rPr>
        <w:t xml:space="preserve"> (SGM) </w:t>
      </w:r>
      <w:r w:rsidR="009C5AB7" w:rsidRPr="001C240A">
        <w:rPr>
          <w:rFonts w:eastAsiaTheme="minorHAnsi"/>
          <w:color w:val="000000"/>
        </w:rPr>
        <w:t>youth</w:t>
      </w:r>
      <w:r w:rsidR="00425DFB">
        <w:rPr>
          <w:rFonts w:eastAsiaTheme="minorHAnsi"/>
          <w:color w:val="000000"/>
        </w:rPr>
        <w:t xml:space="preserve"> (</w:t>
      </w:r>
      <w:r w:rsidR="00425DFB" w:rsidRPr="00BD2E9F">
        <w:rPr>
          <w:rFonts w:eastAsiaTheme="minorHAnsi"/>
        </w:rPr>
        <w:t xml:space="preserve">Blashill, Fox, Feinstein, Albright, </w:t>
      </w:r>
      <w:r w:rsidR="00425DFB">
        <w:rPr>
          <w:rFonts w:eastAsiaTheme="minorHAnsi"/>
        </w:rPr>
        <w:t xml:space="preserve">&amp; </w:t>
      </w:r>
      <w:proofErr w:type="spellStart"/>
      <w:r w:rsidR="00425DFB" w:rsidRPr="00BD2E9F">
        <w:rPr>
          <w:rFonts w:eastAsiaTheme="minorHAnsi"/>
        </w:rPr>
        <w:t>Calzo</w:t>
      </w:r>
      <w:proofErr w:type="spellEnd"/>
      <w:r w:rsidR="00425DFB">
        <w:rPr>
          <w:rFonts w:eastAsiaTheme="minorHAnsi"/>
        </w:rPr>
        <w:t>, 2021)</w:t>
      </w:r>
      <w:r w:rsidR="002C5232" w:rsidRPr="001C240A">
        <w:rPr>
          <w:rFonts w:eastAsiaTheme="minorHAnsi"/>
          <w:color w:val="000000"/>
        </w:rPr>
        <w:t>,</w:t>
      </w:r>
      <w:r w:rsidR="00B36736">
        <w:rPr>
          <w:rFonts w:eastAsiaTheme="minorHAnsi"/>
          <w:color w:val="000000"/>
        </w:rPr>
        <w:t xml:space="preserve"> </w:t>
      </w:r>
      <w:r w:rsidR="00322CE4" w:rsidRPr="001C240A">
        <w:rPr>
          <w:rFonts w:eastAsiaTheme="minorHAnsi"/>
          <w:color w:val="000000"/>
        </w:rPr>
        <w:t xml:space="preserve">who </w:t>
      </w:r>
      <w:r w:rsidR="00E91FC9" w:rsidRPr="001C240A">
        <w:rPr>
          <w:rFonts w:eastAsiaTheme="minorHAnsi"/>
          <w:color w:val="000000"/>
        </w:rPr>
        <w:t>face high rates of</w:t>
      </w:r>
      <w:r w:rsidR="00322CE4" w:rsidRPr="001C240A">
        <w:rPr>
          <w:rFonts w:eastAsiaTheme="minorHAnsi"/>
          <w:color w:val="000000"/>
        </w:rPr>
        <w:t xml:space="preserve"> stigma, discrimination, and disparities across </w:t>
      </w:r>
      <w:r w:rsidR="000448BF" w:rsidRPr="001C240A">
        <w:rPr>
          <w:rFonts w:eastAsiaTheme="minorHAnsi"/>
          <w:color w:val="000000"/>
        </w:rPr>
        <w:t xml:space="preserve">social </w:t>
      </w:r>
      <w:r w:rsidR="00322CE4" w:rsidRPr="001C240A">
        <w:rPr>
          <w:rFonts w:eastAsiaTheme="minorHAnsi"/>
          <w:color w:val="000000"/>
        </w:rPr>
        <w:t>environment</w:t>
      </w:r>
      <w:r w:rsidR="000448BF" w:rsidRPr="001C240A">
        <w:rPr>
          <w:rFonts w:eastAsiaTheme="minorHAnsi"/>
          <w:color w:val="000000"/>
        </w:rPr>
        <w:t>s and healthcare domains</w:t>
      </w:r>
      <w:r w:rsidR="00425DFB">
        <w:rPr>
          <w:rFonts w:eastAsiaTheme="minorHAnsi"/>
          <w:color w:val="000000"/>
        </w:rPr>
        <w:t xml:space="preserve"> (</w:t>
      </w:r>
      <w:proofErr w:type="spellStart"/>
      <w:r w:rsidR="00425DFB" w:rsidRPr="001C240A">
        <w:rPr>
          <w:rFonts w:eastAsiaTheme="minorHAnsi"/>
        </w:rPr>
        <w:t>Hatzenbuehler</w:t>
      </w:r>
      <w:proofErr w:type="spellEnd"/>
      <w:r w:rsidR="00425DFB" w:rsidRPr="001C240A">
        <w:rPr>
          <w:rFonts w:eastAsiaTheme="minorHAnsi"/>
        </w:rPr>
        <w:t xml:space="preserve">, </w:t>
      </w:r>
      <w:r w:rsidR="00425DFB">
        <w:rPr>
          <w:rFonts w:eastAsiaTheme="minorHAnsi"/>
        </w:rPr>
        <w:t xml:space="preserve">&amp; </w:t>
      </w:r>
      <w:proofErr w:type="spellStart"/>
      <w:r w:rsidR="00425DFB" w:rsidRPr="001C240A">
        <w:rPr>
          <w:rFonts w:eastAsiaTheme="minorHAnsi"/>
        </w:rPr>
        <w:t>Pachankis</w:t>
      </w:r>
      <w:proofErr w:type="spellEnd"/>
      <w:r w:rsidR="00425DFB">
        <w:rPr>
          <w:rFonts w:eastAsiaTheme="minorHAnsi"/>
        </w:rPr>
        <w:t>, 2016)</w:t>
      </w:r>
      <w:r w:rsidR="002C5232" w:rsidRPr="001C240A">
        <w:rPr>
          <w:rFonts w:eastAsiaTheme="minorHAnsi"/>
          <w:color w:val="000000"/>
        </w:rPr>
        <w:t>.</w:t>
      </w:r>
      <w:r w:rsidR="00B36736">
        <w:rPr>
          <w:rFonts w:eastAsiaTheme="minorHAnsi"/>
          <w:color w:val="000000"/>
          <w:vertAlign w:val="superscript"/>
        </w:rPr>
        <w:t xml:space="preserve"> </w:t>
      </w:r>
      <w:r w:rsidR="002C5232" w:rsidRPr="001C240A">
        <w:rPr>
          <w:rFonts w:eastAsiaTheme="minorHAnsi"/>
          <w:color w:val="000000"/>
        </w:rPr>
        <w:t>T</w:t>
      </w:r>
      <w:r w:rsidR="00322CE4" w:rsidRPr="001C240A">
        <w:rPr>
          <w:rFonts w:eastAsiaTheme="minorHAnsi"/>
          <w:color w:val="000000"/>
        </w:rPr>
        <w:t xml:space="preserve">herefore, identifying </w:t>
      </w:r>
      <w:r w:rsidR="009D27B6">
        <w:rPr>
          <w:rFonts w:eastAsiaTheme="minorHAnsi"/>
          <w:color w:val="000000"/>
        </w:rPr>
        <w:t xml:space="preserve">modifiable </w:t>
      </w:r>
      <w:r w:rsidR="00322CE4" w:rsidRPr="001C240A">
        <w:rPr>
          <w:rFonts w:eastAsiaTheme="minorHAnsi"/>
          <w:color w:val="000000"/>
        </w:rPr>
        <w:t xml:space="preserve">risk </w:t>
      </w:r>
      <w:r w:rsidR="001B04C4" w:rsidRPr="001C240A">
        <w:rPr>
          <w:rFonts w:eastAsiaTheme="minorHAnsi"/>
          <w:color w:val="000000"/>
        </w:rPr>
        <w:t>factors for suicidality to mitigate untoward outcomes</w:t>
      </w:r>
      <w:r w:rsidR="00A306F8">
        <w:rPr>
          <w:rFonts w:eastAsiaTheme="minorHAnsi"/>
          <w:color w:val="000000"/>
        </w:rPr>
        <w:t xml:space="preserve">, and </w:t>
      </w:r>
      <w:r w:rsidR="00322CE4" w:rsidRPr="001C240A">
        <w:rPr>
          <w:rFonts w:eastAsiaTheme="minorHAnsi"/>
          <w:color w:val="000000"/>
        </w:rPr>
        <w:t xml:space="preserve">protective factors </w:t>
      </w:r>
      <w:r w:rsidR="001B04C4" w:rsidRPr="001C240A">
        <w:rPr>
          <w:rFonts w:eastAsiaTheme="minorHAnsi"/>
          <w:color w:val="000000"/>
        </w:rPr>
        <w:t>that can be optimized to foster</w:t>
      </w:r>
      <w:r w:rsidR="00E434FC" w:rsidRPr="001C240A">
        <w:rPr>
          <w:rFonts w:eastAsiaTheme="minorHAnsi"/>
          <w:color w:val="000000"/>
        </w:rPr>
        <w:t xml:space="preserve"> positive development</w:t>
      </w:r>
      <w:r w:rsidR="001B04C4" w:rsidRPr="001C240A">
        <w:rPr>
          <w:rFonts w:eastAsiaTheme="minorHAnsi"/>
          <w:color w:val="000000"/>
        </w:rPr>
        <w:t>,</w:t>
      </w:r>
      <w:r w:rsidR="00322CE4" w:rsidRPr="001C240A">
        <w:rPr>
          <w:rFonts w:eastAsiaTheme="minorHAnsi"/>
          <w:color w:val="000000"/>
        </w:rPr>
        <w:t xml:space="preserve"> is critical </w:t>
      </w:r>
      <w:r w:rsidR="001B04C4" w:rsidRPr="001C240A">
        <w:rPr>
          <w:rFonts w:eastAsiaTheme="minorHAnsi"/>
          <w:color w:val="000000"/>
        </w:rPr>
        <w:t>starting</w:t>
      </w:r>
      <w:r w:rsidR="00322CE4" w:rsidRPr="001C240A">
        <w:rPr>
          <w:rFonts w:eastAsiaTheme="minorHAnsi"/>
          <w:color w:val="000000"/>
        </w:rPr>
        <w:t xml:space="preserve"> </w:t>
      </w:r>
      <w:r w:rsidR="00E91FC9" w:rsidRPr="001C240A">
        <w:rPr>
          <w:rFonts w:eastAsiaTheme="minorHAnsi"/>
          <w:color w:val="000000"/>
        </w:rPr>
        <w:t>in childhood</w:t>
      </w:r>
      <w:r w:rsidR="00425DFB">
        <w:rPr>
          <w:rFonts w:eastAsiaTheme="minorHAnsi"/>
          <w:color w:val="000000"/>
        </w:rPr>
        <w:t xml:space="preserve"> (</w:t>
      </w:r>
      <w:r w:rsidR="00425DFB" w:rsidRPr="00BD2E9F">
        <w:rPr>
          <w:rFonts w:eastAsiaTheme="minorHAnsi"/>
        </w:rPr>
        <w:t>Blashill</w:t>
      </w:r>
      <w:r w:rsidR="00F51D76">
        <w:rPr>
          <w:rFonts w:eastAsiaTheme="minorHAnsi"/>
        </w:rPr>
        <w:t>, Fox</w:t>
      </w:r>
      <w:r w:rsidR="00425DFB" w:rsidRPr="00BD2E9F">
        <w:rPr>
          <w:rFonts w:eastAsiaTheme="minorHAnsi"/>
        </w:rPr>
        <w:t xml:space="preserve">, Feinstein, Albright, </w:t>
      </w:r>
      <w:r w:rsidR="00425DFB">
        <w:rPr>
          <w:rFonts w:eastAsiaTheme="minorHAnsi"/>
        </w:rPr>
        <w:t xml:space="preserve">&amp; </w:t>
      </w:r>
      <w:proofErr w:type="spellStart"/>
      <w:r w:rsidR="00425DFB" w:rsidRPr="00BD2E9F">
        <w:rPr>
          <w:rFonts w:eastAsiaTheme="minorHAnsi"/>
        </w:rPr>
        <w:t>Calzo</w:t>
      </w:r>
      <w:proofErr w:type="spellEnd"/>
      <w:r w:rsidR="00425DFB">
        <w:rPr>
          <w:rFonts w:eastAsiaTheme="minorHAnsi"/>
        </w:rPr>
        <w:t>, 2021).</w:t>
      </w:r>
    </w:p>
    <w:p w14:paraId="2DCBC896" w14:textId="3181AAD3" w:rsidR="00D50D81" w:rsidRDefault="00A306F8" w:rsidP="00957DA0">
      <w:pPr>
        <w:spacing w:line="480" w:lineRule="auto"/>
        <w:ind w:firstLine="720"/>
        <w:rPr>
          <w:rFonts w:eastAsiaTheme="minorHAnsi"/>
          <w:color w:val="000000"/>
        </w:rPr>
      </w:pPr>
      <w:r>
        <w:rPr>
          <w:rFonts w:eastAsiaTheme="minorHAnsi"/>
          <w:color w:val="000000"/>
        </w:rPr>
        <w:t>F</w:t>
      </w:r>
      <w:r w:rsidR="00322CE4" w:rsidRPr="001C240A">
        <w:rPr>
          <w:rFonts w:eastAsiaTheme="minorHAnsi"/>
          <w:color w:val="000000"/>
        </w:rPr>
        <w:t xml:space="preserve">amily </w:t>
      </w:r>
      <w:r w:rsidR="008E6B2B" w:rsidRPr="001C240A">
        <w:rPr>
          <w:rFonts w:eastAsiaTheme="minorHAnsi"/>
          <w:color w:val="000000"/>
        </w:rPr>
        <w:t>factors affect rates of suicidality among</w:t>
      </w:r>
      <w:r w:rsidR="000448BF" w:rsidRPr="001C240A">
        <w:rPr>
          <w:rFonts w:eastAsiaTheme="minorHAnsi"/>
          <w:color w:val="000000"/>
        </w:rPr>
        <w:t xml:space="preserve"> youth</w:t>
      </w:r>
      <w:r w:rsidR="009A0401">
        <w:rPr>
          <w:rFonts w:eastAsiaTheme="minorHAnsi"/>
          <w:color w:val="000000"/>
        </w:rPr>
        <w:t xml:space="preserve"> (</w:t>
      </w:r>
      <w:proofErr w:type="spellStart"/>
      <w:r w:rsidR="00FF7C66">
        <w:rPr>
          <w:rFonts w:eastAsiaTheme="minorHAnsi"/>
        </w:rPr>
        <w:t>DeVille</w:t>
      </w:r>
      <w:proofErr w:type="spellEnd"/>
      <w:r w:rsidR="00FF7C66">
        <w:rPr>
          <w:rFonts w:eastAsiaTheme="minorHAnsi"/>
        </w:rPr>
        <w:t xml:space="preserve">, Whalen, </w:t>
      </w:r>
      <w:proofErr w:type="spellStart"/>
      <w:r w:rsidR="00FF7C66">
        <w:rPr>
          <w:rFonts w:eastAsiaTheme="minorHAnsi"/>
        </w:rPr>
        <w:t>Breslin</w:t>
      </w:r>
      <w:proofErr w:type="spellEnd"/>
      <w:r w:rsidR="00FF7C66">
        <w:rPr>
          <w:rFonts w:eastAsiaTheme="minorHAnsi"/>
        </w:rPr>
        <w:t xml:space="preserve">, Morris, </w:t>
      </w:r>
      <w:proofErr w:type="spellStart"/>
      <w:r w:rsidR="00FF7C66">
        <w:rPr>
          <w:rFonts w:eastAsiaTheme="minorHAnsi"/>
        </w:rPr>
        <w:t>Khalsa</w:t>
      </w:r>
      <w:proofErr w:type="spellEnd"/>
      <w:r w:rsidR="009A0401" w:rsidRPr="003B3CCB">
        <w:rPr>
          <w:rFonts w:eastAsiaTheme="minorHAnsi"/>
        </w:rPr>
        <w:t xml:space="preserve">, Paulus, </w:t>
      </w:r>
      <w:r w:rsidR="00FF7C66">
        <w:rPr>
          <w:rFonts w:eastAsiaTheme="minorHAnsi"/>
        </w:rPr>
        <w:t xml:space="preserve">&amp; </w:t>
      </w:r>
      <w:proofErr w:type="spellStart"/>
      <w:r w:rsidR="00FF7C66">
        <w:rPr>
          <w:rFonts w:eastAsiaTheme="minorHAnsi"/>
        </w:rPr>
        <w:t>Barch</w:t>
      </w:r>
      <w:proofErr w:type="spellEnd"/>
      <w:r w:rsidR="009A0401">
        <w:rPr>
          <w:rFonts w:eastAsiaTheme="minorHAnsi"/>
        </w:rPr>
        <w:t xml:space="preserve">, 2020; </w:t>
      </w:r>
      <w:r w:rsidR="009A0401" w:rsidRPr="00937592">
        <w:rPr>
          <w:rFonts w:eastAsiaTheme="minorHAnsi"/>
        </w:rPr>
        <w:t>Mills-</w:t>
      </w:r>
      <w:proofErr w:type="spellStart"/>
      <w:r w:rsidR="009A0401" w:rsidRPr="00937592">
        <w:rPr>
          <w:rFonts w:eastAsiaTheme="minorHAnsi"/>
        </w:rPr>
        <w:t>Koonce</w:t>
      </w:r>
      <w:proofErr w:type="spellEnd"/>
      <w:r w:rsidR="00FF7C66">
        <w:rPr>
          <w:rFonts w:eastAsiaTheme="minorHAnsi"/>
        </w:rPr>
        <w:t xml:space="preserve">, </w:t>
      </w:r>
      <w:proofErr w:type="spellStart"/>
      <w:r w:rsidR="00FF7C66">
        <w:rPr>
          <w:rFonts w:eastAsiaTheme="minorHAnsi"/>
        </w:rPr>
        <w:t>Rehder</w:t>
      </w:r>
      <w:proofErr w:type="spellEnd"/>
      <w:r w:rsidR="00FF7C66">
        <w:rPr>
          <w:rFonts w:eastAsiaTheme="minorHAnsi"/>
        </w:rPr>
        <w:t>, &amp; McCurdy,</w:t>
      </w:r>
      <w:r w:rsidR="009A0401">
        <w:rPr>
          <w:rFonts w:eastAsiaTheme="minorHAnsi"/>
        </w:rPr>
        <w:t xml:space="preserve"> 2018)</w:t>
      </w:r>
      <w:r w:rsidR="00C869CA" w:rsidRPr="001C240A">
        <w:rPr>
          <w:rFonts w:eastAsiaTheme="minorHAnsi"/>
          <w:color w:val="000000"/>
        </w:rPr>
        <w:t>.</w:t>
      </w:r>
      <w:r w:rsidR="00B36736">
        <w:rPr>
          <w:rFonts w:eastAsiaTheme="minorHAnsi"/>
          <w:color w:val="000000"/>
          <w:vertAlign w:val="superscript"/>
        </w:rPr>
        <w:t xml:space="preserve"> </w:t>
      </w:r>
      <w:r w:rsidR="00C869CA" w:rsidRPr="001C240A">
        <w:rPr>
          <w:rFonts w:eastAsiaTheme="minorHAnsi"/>
          <w:color w:val="000000"/>
        </w:rPr>
        <w:t xml:space="preserve">However, </w:t>
      </w:r>
      <w:r w:rsidR="00E434FC" w:rsidRPr="001C240A">
        <w:rPr>
          <w:rFonts w:eastAsiaTheme="minorHAnsi"/>
          <w:color w:val="000000"/>
        </w:rPr>
        <w:t xml:space="preserve">studies </w:t>
      </w:r>
      <w:r w:rsidR="00A64D77">
        <w:rPr>
          <w:rFonts w:eastAsiaTheme="minorHAnsi"/>
          <w:color w:val="000000"/>
        </w:rPr>
        <w:t xml:space="preserve">examining family factors and suicidality among </w:t>
      </w:r>
      <w:r w:rsidR="008E6B2B" w:rsidRPr="001C240A">
        <w:rPr>
          <w:rFonts w:eastAsiaTheme="minorHAnsi"/>
          <w:color w:val="000000"/>
        </w:rPr>
        <w:t xml:space="preserve">SGM youth </w:t>
      </w:r>
      <w:r w:rsidR="00E434FC" w:rsidRPr="001C240A">
        <w:rPr>
          <w:rFonts w:eastAsiaTheme="minorHAnsi"/>
          <w:color w:val="000000"/>
        </w:rPr>
        <w:t xml:space="preserve">have </w:t>
      </w:r>
      <w:r w:rsidR="00D50D81">
        <w:rPr>
          <w:rFonts w:eastAsiaTheme="minorHAnsi"/>
          <w:color w:val="000000"/>
        </w:rPr>
        <w:t xml:space="preserve">largely </w:t>
      </w:r>
      <w:r w:rsidR="00E434FC" w:rsidRPr="001C240A">
        <w:rPr>
          <w:rFonts w:eastAsiaTheme="minorHAnsi"/>
          <w:color w:val="000000"/>
        </w:rPr>
        <w:t>been limited to small sample</w:t>
      </w:r>
      <w:r w:rsidR="001B1444" w:rsidRPr="001C240A">
        <w:rPr>
          <w:rFonts w:eastAsiaTheme="minorHAnsi"/>
          <w:color w:val="000000"/>
        </w:rPr>
        <w:t xml:space="preserve">s </w:t>
      </w:r>
      <w:r w:rsidR="00635451" w:rsidRPr="001C240A">
        <w:rPr>
          <w:rFonts w:eastAsiaTheme="minorHAnsi"/>
          <w:color w:val="000000"/>
        </w:rPr>
        <w:t>of</w:t>
      </w:r>
      <w:r w:rsidR="001B04C4" w:rsidRPr="001C240A">
        <w:rPr>
          <w:rFonts w:eastAsiaTheme="minorHAnsi"/>
          <w:color w:val="000000"/>
        </w:rPr>
        <w:t xml:space="preserve"> older adolescents</w:t>
      </w:r>
      <w:r w:rsidR="009A0401">
        <w:rPr>
          <w:rFonts w:eastAsiaTheme="minorHAnsi"/>
          <w:color w:val="000000"/>
        </w:rPr>
        <w:t xml:space="preserve"> (</w:t>
      </w:r>
      <w:r w:rsidR="009A0401" w:rsidRPr="001C240A">
        <w:rPr>
          <w:rFonts w:eastAsiaTheme="minorHAnsi"/>
        </w:rPr>
        <w:t xml:space="preserve">Katz-Wise, Rosario, </w:t>
      </w:r>
      <w:r w:rsidR="009A0401">
        <w:rPr>
          <w:rFonts w:eastAsiaTheme="minorHAnsi"/>
        </w:rPr>
        <w:t xml:space="preserve">&amp; </w:t>
      </w:r>
      <w:proofErr w:type="spellStart"/>
      <w:r w:rsidR="009A0401" w:rsidRPr="001C240A">
        <w:rPr>
          <w:rFonts w:eastAsiaTheme="minorHAnsi"/>
        </w:rPr>
        <w:t>Tsappis</w:t>
      </w:r>
      <w:proofErr w:type="spellEnd"/>
      <w:r w:rsidR="009A0401">
        <w:rPr>
          <w:rFonts w:eastAsiaTheme="minorHAnsi"/>
        </w:rPr>
        <w:t xml:space="preserve">, 2016; </w:t>
      </w:r>
      <w:r w:rsidR="009A0401" w:rsidRPr="001C240A">
        <w:rPr>
          <w:rFonts w:eastAsiaTheme="minorHAnsi"/>
        </w:rPr>
        <w:t xml:space="preserve">Ryan, Huebner, Diaz, </w:t>
      </w:r>
      <w:r w:rsidR="009A0401">
        <w:rPr>
          <w:rFonts w:eastAsiaTheme="minorHAnsi"/>
        </w:rPr>
        <w:t xml:space="preserve">&amp; </w:t>
      </w:r>
      <w:r w:rsidR="009A0401" w:rsidRPr="001C240A">
        <w:rPr>
          <w:rFonts w:eastAsiaTheme="minorHAnsi"/>
        </w:rPr>
        <w:t>Sanchez</w:t>
      </w:r>
      <w:r w:rsidR="009A0401">
        <w:rPr>
          <w:rFonts w:eastAsiaTheme="minorHAnsi"/>
        </w:rPr>
        <w:t xml:space="preserve">, 2009; </w:t>
      </w:r>
      <w:r w:rsidR="009A0401" w:rsidRPr="001C240A">
        <w:rPr>
          <w:rFonts w:eastAsiaTheme="minorHAnsi"/>
        </w:rPr>
        <w:t xml:space="preserve">McConnell, Birkett, </w:t>
      </w:r>
      <w:r w:rsidR="009A0401">
        <w:rPr>
          <w:rFonts w:eastAsiaTheme="minorHAnsi"/>
        </w:rPr>
        <w:t xml:space="preserve">&amp; </w:t>
      </w:r>
      <w:proofErr w:type="spellStart"/>
      <w:r w:rsidR="009A0401" w:rsidRPr="001C240A">
        <w:rPr>
          <w:rFonts w:eastAsiaTheme="minorHAnsi"/>
        </w:rPr>
        <w:t>Mustanski</w:t>
      </w:r>
      <w:proofErr w:type="spellEnd"/>
      <w:r w:rsidR="009A0401">
        <w:rPr>
          <w:rFonts w:eastAsiaTheme="minorHAnsi"/>
        </w:rPr>
        <w:t xml:space="preserve">, 2016; </w:t>
      </w:r>
      <w:proofErr w:type="spellStart"/>
      <w:r w:rsidR="00FF7C66">
        <w:rPr>
          <w:rFonts w:eastAsiaTheme="minorHAnsi"/>
        </w:rPr>
        <w:t>Bouris</w:t>
      </w:r>
      <w:proofErr w:type="spellEnd"/>
      <w:r w:rsidR="00FF7C66">
        <w:rPr>
          <w:rFonts w:eastAsiaTheme="minorHAnsi"/>
        </w:rPr>
        <w:t xml:space="preserve">, </w:t>
      </w:r>
      <w:proofErr w:type="spellStart"/>
      <w:r w:rsidR="00FF7C66">
        <w:rPr>
          <w:rFonts w:eastAsiaTheme="minorHAnsi"/>
        </w:rPr>
        <w:t>Guilamo</w:t>
      </w:r>
      <w:proofErr w:type="spellEnd"/>
      <w:r w:rsidR="00FF7C66">
        <w:rPr>
          <w:rFonts w:eastAsiaTheme="minorHAnsi"/>
        </w:rPr>
        <w:t>-Ramos, Pickard</w:t>
      </w:r>
      <w:r w:rsidR="009A0401" w:rsidRPr="001C240A">
        <w:rPr>
          <w:rFonts w:eastAsiaTheme="minorHAnsi"/>
        </w:rPr>
        <w:t>,</w:t>
      </w:r>
      <w:r w:rsidR="00FF7C66">
        <w:rPr>
          <w:rFonts w:eastAsiaTheme="minorHAnsi"/>
        </w:rPr>
        <w:t xml:space="preserve"> </w:t>
      </w:r>
      <w:proofErr w:type="spellStart"/>
      <w:r w:rsidR="00FF7C66">
        <w:rPr>
          <w:rFonts w:eastAsiaTheme="minorHAnsi"/>
        </w:rPr>
        <w:t>Shiu</w:t>
      </w:r>
      <w:proofErr w:type="spellEnd"/>
      <w:r w:rsidR="00FF7C66">
        <w:rPr>
          <w:rFonts w:eastAsiaTheme="minorHAnsi"/>
        </w:rPr>
        <w:t xml:space="preserve">, </w:t>
      </w:r>
      <w:proofErr w:type="spellStart"/>
      <w:r w:rsidR="00FF7C66">
        <w:rPr>
          <w:rFonts w:eastAsiaTheme="minorHAnsi"/>
        </w:rPr>
        <w:t>Loosier</w:t>
      </w:r>
      <w:proofErr w:type="spellEnd"/>
      <w:r w:rsidR="00FF7C66">
        <w:rPr>
          <w:rFonts w:eastAsiaTheme="minorHAnsi"/>
        </w:rPr>
        <w:t xml:space="preserve">, </w:t>
      </w:r>
      <w:proofErr w:type="spellStart"/>
      <w:r w:rsidR="00FF7C66">
        <w:rPr>
          <w:rFonts w:eastAsiaTheme="minorHAnsi"/>
        </w:rPr>
        <w:t>Dittus</w:t>
      </w:r>
      <w:proofErr w:type="spellEnd"/>
      <w:r w:rsidR="00FF7C66">
        <w:rPr>
          <w:rFonts w:eastAsiaTheme="minorHAnsi"/>
        </w:rPr>
        <w:t xml:space="preserve">, </w:t>
      </w:r>
      <w:proofErr w:type="spellStart"/>
      <w:r w:rsidR="00FF7C66">
        <w:rPr>
          <w:rFonts w:eastAsiaTheme="minorHAnsi"/>
        </w:rPr>
        <w:t>Gloppen</w:t>
      </w:r>
      <w:proofErr w:type="spellEnd"/>
      <w:r w:rsidR="00FF7C66">
        <w:rPr>
          <w:rFonts w:eastAsiaTheme="minorHAnsi"/>
        </w:rPr>
        <w:t xml:space="preserve">, &amp; Michael </w:t>
      </w:r>
      <w:proofErr w:type="spellStart"/>
      <w:r w:rsidR="00FF7C66">
        <w:rPr>
          <w:rFonts w:eastAsiaTheme="minorHAnsi"/>
        </w:rPr>
        <w:t>Waldmiller</w:t>
      </w:r>
      <w:proofErr w:type="spellEnd"/>
      <w:r w:rsidR="009A0401">
        <w:rPr>
          <w:rFonts w:eastAsiaTheme="minorHAnsi"/>
        </w:rPr>
        <w:t>, 2010)</w:t>
      </w:r>
      <w:r w:rsidR="001B04C4" w:rsidRPr="001C240A">
        <w:rPr>
          <w:rFonts w:eastAsiaTheme="minorHAnsi"/>
          <w:color w:val="000000"/>
        </w:rPr>
        <w:t>,</w:t>
      </w:r>
      <w:r w:rsidR="00B36736">
        <w:rPr>
          <w:rFonts w:eastAsiaTheme="minorHAnsi"/>
          <w:color w:val="000000"/>
        </w:rPr>
        <w:t xml:space="preserve"> </w:t>
      </w:r>
      <w:r w:rsidR="00C869CA" w:rsidRPr="001C240A">
        <w:rPr>
          <w:rFonts w:eastAsiaTheme="minorHAnsi"/>
          <w:color w:val="000000"/>
        </w:rPr>
        <w:t>and the</w:t>
      </w:r>
      <w:r w:rsidR="000448BF" w:rsidRPr="001C240A">
        <w:rPr>
          <w:rFonts w:eastAsiaTheme="minorHAnsi"/>
          <w:color w:val="000000"/>
        </w:rPr>
        <w:t xml:space="preserve"> degree to which </w:t>
      </w:r>
      <w:r w:rsidR="001A37E7" w:rsidRPr="001C240A">
        <w:rPr>
          <w:rFonts w:eastAsiaTheme="minorHAnsi"/>
          <w:color w:val="000000"/>
        </w:rPr>
        <w:t xml:space="preserve">early </w:t>
      </w:r>
      <w:r w:rsidR="000448BF" w:rsidRPr="001C240A">
        <w:rPr>
          <w:rFonts w:eastAsiaTheme="minorHAnsi"/>
          <w:color w:val="000000"/>
        </w:rPr>
        <w:t xml:space="preserve">family acceptance and conflict </w:t>
      </w:r>
      <w:r w:rsidR="001B04C4" w:rsidRPr="001C240A">
        <w:rPr>
          <w:rFonts w:eastAsiaTheme="minorHAnsi"/>
          <w:color w:val="000000"/>
        </w:rPr>
        <w:t>mediate</w:t>
      </w:r>
      <w:r w:rsidR="000448BF" w:rsidRPr="001C240A">
        <w:rPr>
          <w:rFonts w:eastAsiaTheme="minorHAnsi"/>
          <w:color w:val="000000"/>
        </w:rPr>
        <w:t xml:space="preserve"> suicidality </w:t>
      </w:r>
      <w:r w:rsidR="0010262E">
        <w:rPr>
          <w:rFonts w:eastAsiaTheme="minorHAnsi"/>
          <w:color w:val="000000"/>
        </w:rPr>
        <w:t xml:space="preserve">among </w:t>
      </w:r>
      <w:r w:rsidR="001C240A">
        <w:rPr>
          <w:rFonts w:eastAsiaTheme="minorHAnsi"/>
          <w:color w:val="000000"/>
        </w:rPr>
        <w:t>youth</w:t>
      </w:r>
      <w:r w:rsidR="00C869CA" w:rsidRPr="001C240A">
        <w:rPr>
          <w:rFonts w:eastAsiaTheme="minorHAnsi"/>
          <w:color w:val="000000"/>
        </w:rPr>
        <w:t xml:space="preserve"> is poorly understood. </w:t>
      </w:r>
      <w:r w:rsidR="00D50D81">
        <w:rPr>
          <w:rFonts w:eastAsiaTheme="minorHAnsi"/>
          <w:color w:val="000000"/>
        </w:rPr>
        <w:t>I</w:t>
      </w:r>
      <w:r w:rsidR="00937592">
        <w:rPr>
          <w:rFonts w:eastAsiaTheme="minorHAnsi"/>
          <w:color w:val="000000"/>
        </w:rPr>
        <w:t>n studies</w:t>
      </w:r>
      <w:r w:rsidR="00D50D81">
        <w:rPr>
          <w:rFonts w:eastAsiaTheme="minorHAnsi"/>
          <w:color w:val="000000"/>
        </w:rPr>
        <w:t xml:space="preserve"> of gay, lesbian, and bisexual high school students in one geographic location in the United States, family connectedness was found to be significantly protective against suicidality</w:t>
      </w:r>
      <w:r w:rsidR="009A0401">
        <w:rPr>
          <w:rFonts w:eastAsiaTheme="minorHAnsi"/>
          <w:color w:val="000000"/>
        </w:rPr>
        <w:t xml:space="preserve"> (</w:t>
      </w:r>
      <w:r w:rsidR="009A0401" w:rsidRPr="009C130D">
        <w:rPr>
          <w:rFonts w:eastAsiaTheme="minorHAnsi"/>
        </w:rPr>
        <w:t>Eisenberg</w:t>
      </w:r>
      <w:r w:rsidR="009A0401">
        <w:rPr>
          <w:rFonts w:eastAsiaTheme="minorHAnsi"/>
        </w:rPr>
        <w:t xml:space="preserve"> &amp;</w:t>
      </w:r>
      <w:r w:rsidR="009A0401" w:rsidRPr="009C130D">
        <w:rPr>
          <w:rFonts w:eastAsiaTheme="minorHAnsi"/>
        </w:rPr>
        <w:t xml:space="preserve"> Resnick</w:t>
      </w:r>
      <w:r w:rsidR="009A0401">
        <w:rPr>
          <w:rFonts w:eastAsiaTheme="minorHAnsi"/>
        </w:rPr>
        <w:t xml:space="preserve">, 2006; </w:t>
      </w:r>
      <w:r w:rsidR="009A0401" w:rsidRPr="009C130D">
        <w:rPr>
          <w:rFonts w:eastAsiaTheme="minorHAnsi"/>
        </w:rPr>
        <w:t xml:space="preserve">Taliaferro </w:t>
      </w:r>
      <w:r w:rsidR="009A0401">
        <w:rPr>
          <w:rFonts w:eastAsiaTheme="minorHAnsi"/>
        </w:rPr>
        <w:t xml:space="preserve">&amp; </w:t>
      </w:r>
      <w:proofErr w:type="spellStart"/>
      <w:r w:rsidR="009A0401" w:rsidRPr="009C130D">
        <w:rPr>
          <w:rFonts w:eastAsiaTheme="minorHAnsi"/>
        </w:rPr>
        <w:t>Muehlenkamp</w:t>
      </w:r>
      <w:proofErr w:type="spellEnd"/>
      <w:r w:rsidR="00B65B4E">
        <w:rPr>
          <w:rFonts w:eastAsiaTheme="minorHAnsi"/>
        </w:rPr>
        <w:t xml:space="preserve">, </w:t>
      </w:r>
      <w:r w:rsidR="009A0401">
        <w:rPr>
          <w:rFonts w:eastAsiaTheme="minorHAnsi"/>
        </w:rPr>
        <w:t>2017)</w:t>
      </w:r>
      <w:r w:rsidR="00D50D81">
        <w:rPr>
          <w:rFonts w:eastAsiaTheme="minorHAnsi"/>
          <w:color w:val="000000"/>
        </w:rPr>
        <w:t>.</w:t>
      </w:r>
    </w:p>
    <w:p w14:paraId="52CC584E" w14:textId="33F2473F" w:rsidR="00322CE4" w:rsidRPr="001C240A" w:rsidRDefault="00755339" w:rsidP="00957DA0">
      <w:pPr>
        <w:spacing w:line="480" w:lineRule="auto"/>
        <w:ind w:firstLine="720"/>
        <w:rPr>
          <w:rFonts w:eastAsiaTheme="minorHAnsi"/>
          <w:color w:val="000000"/>
        </w:rPr>
      </w:pPr>
      <w:r w:rsidRPr="00755339">
        <w:rPr>
          <w:rFonts w:eastAsiaTheme="minorHAnsi"/>
          <w:color w:val="000000"/>
        </w:rPr>
        <w:t>Parent-child attachment affects distal relationship development</w:t>
      </w:r>
      <w:r w:rsidR="00B65B4E">
        <w:rPr>
          <w:rFonts w:eastAsiaTheme="minorHAnsi"/>
          <w:color w:val="000000"/>
        </w:rPr>
        <w:t xml:space="preserve"> (</w:t>
      </w:r>
      <w:r w:rsidR="00B65B4E" w:rsidRPr="00937592">
        <w:rPr>
          <w:rFonts w:eastAsiaTheme="minorHAnsi"/>
        </w:rPr>
        <w:t>Mills-</w:t>
      </w:r>
      <w:proofErr w:type="spellStart"/>
      <w:r w:rsidR="00B65B4E" w:rsidRPr="00937592">
        <w:rPr>
          <w:rFonts w:eastAsiaTheme="minorHAnsi"/>
        </w:rPr>
        <w:t>Koonce</w:t>
      </w:r>
      <w:proofErr w:type="spellEnd"/>
      <w:r w:rsidR="00FF7C66">
        <w:rPr>
          <w:rFonts w:eastAsiaTheme="minorHAnsi"/>
        </w:rPr>
        <w:t xml:space="preserve">, </w:t>
      </w:r>
      <w:proofErr w:type="spellStart"/>
      <w:r w:rsidR="00FF7C66">
        <w:rPr>
          <w:rFonts w:eastAsiaTheme="minorHAnsi"/>
        </w:rPr>
        <w:t>Rehder</w:t>
      </w:r>
      <w:proofErr w:type="spellEnd"/>
      <w:r w:rsidR="00B65B4E">
        <w:rPr>
          <w:rFonts w:eastAsiaTheme="minorHAnsi"/>
        </w:rPr>
        <w:t xml:space="preserve"> &amp; </w:t>
      </w:r>
      <w:r w:rsidR="00FF7C66">
        <w:rPr>
          <w:rFonts w:eastAsiaTheme="minorHAnsi"/>
        </w:rPr>
        <w:t>McCurdy</w:t>
      </w:r>
      <w:r w:rsidR="00B65B4E">
        <w:rPr>
          <w:rFonts w:eastAsiaTheme="minorHAnsi"/>
        </w:rPr>
        <w:t xml:space="preserve">, 2018; </w:t>
      </w:r>
      <w:r w:rsidR="00B65B4E" w:rsidRPr="001C240A">
        <w:rPr>
          <w:rFonts w:eastAsiaTheme="minorHAnsi"/>
        </w:rPr>
        <w:t xml:space="preserve">Katz-Wise, Rosario, </w:t>
      </w:r>
      <w:r w:rsidR="00B65B4E">
        <w:rPr>
          <w:rFonts w:eastAsiaTheme="minorHAnsi"/>
        </w:rPr>
        <w:t xml:space="preserve">&amp; </w:t>
      </w:r>
      <w:proofErr w:type="spellStart"/>
      <w:r w:rsidR="00B65B4E" w:rsidRPr="001C240A">
        <w:rPr>
          <w:rFonts w:eastAsiaTheme="minorHAnsi"/>
        </w:rPr>
        <w:t>Tsappis</w:t>
      </w:r>
      <w:proofErr w:type="spellEnd"/>
      <w:r w:rsidR="00B65B4E">
        <w:rPr>
          <w:rFonts w:eastAsiaTheme="minorHAnsi"/>
        </w:rPr>
        <w:t>, 2016)</w:t>
      </w:r>
      <w:r w:rsidRPr="00755339">
        <w:rPr>
          <w:rFonts w:eastAsiaTheme="minorHAnsi"/>
          <w:color w:val="000000"/>
        </w:rPr>
        <w:t>. Prior research suggests this may be particularly true among SGM youth; parental rejection negatively and profoundly impacts health while acceptance fosters a healthy sense of self</w:t>
      </w:r>
      <w:r w:rsidR="00B65B4E">
        <w:rPr>
          <w:rFonts w:eastAsiaTheme="minorHAnsi"/>
          <w:color w:val="000000"/>
        </w:rPr>
        <w:t xml:space="preserve"> (</w:t>
      </w:r>
      <w:r w:rsidR="00B65B4E" w:rsidRPr="00937592">
        <w:rPr>
          <w:rFonts w:eastAsiaTheme="minorHAnsi"/>
        </w:rPr>
        <w:t>Mills-</w:t>
      </w:r>
      <w:proofErr w:type="spellStart"/>
      <w:r w:rsidR="00B65B4E" w:rsidRPr="00937592">
        <w:rPr>
          <w:rFonts w:eastAsiaTheme="minorHAnsi"/>
        </w:rPr>
        <w:t>Koonce</w:t>
      </w:r>
      <w:proofErr w:type="spellEnd"/>
      <w:r w:rsidR="00FF7C66">
        <w:rPr>
          <w:rFonts w:eastAsiaTheme="minorHAnsi"/>
        </w:rPr>
        <w:t xml:space="preserve">, </w:t>
      </w:r>
      <w:proofErr w:type="spellStart"/>
      <w:r w:rsidR="00FF7C66">
        <w:rPr>
          <w:rFonts w:eastAsiaTheme="minorHAnsi"/>
        </w:rPr>
        <w:t>Rehder</w:t>
      </w:r>
      <w:proofErr w:type="spellEnd"/>
      <w:r w:rsidR="00FF7C66">
        <w:rPr>
          <w:rFonts w:eastAsiaTheme="minorHAnsi"/>
        </w:rPr>
        <w:t xml:space="preserve"> &amp; McCurdy</w:t>
      </w:r>
      <w:r w:rsidR="00B65B4E">
        <w:rPr>
          <w:rFonts w:eastAsiaTheme="minorHAnsi"/>
        </w:rPr>
        <w:t xml:space="preserve">, 2018; </w:t>
      </w:r>
      <w:r w:rsidR="00B65B4E" w:rsidRPr="001C240A">
        <w:rPr>
          <w:rFonts w:eastAsiaTheme="minorHAnsi"/>
        </w:rPr>
        <w:t>Katz-</w:t>
      </w:r>
      <w:r w:rsidR="00B65B4E" w:rsidRPr="001C240A">
        <w:rPr>
          <w:rFonts w:eastAsiaTheme="minorHAnsi"/>
        </w:rPr>
        <w:lastRenderedPageBreak/>
        <w:t xml:space="preserve">Wise, Rosario, </w:t>
      </w:r>
      <w:r w:rsidR="00B65B4E">
        <w:rPr>
          <w:rFonts w:eastAsiaTheme="minorHAnsi"/>
        </w:rPr>
        <w:t xml:space="preserve">&amp; </w:t>
      </w:r>
      <w:proofErr w:type="spellStart"/>
      <w:r w:rsidR="00B65B4E" w:rsidRPr="001C240A">
        <w:rPr>
          <w:rFonts w:eastAsiaTheme="minorHAnsi"/>
        </w:rPr>
        <w:t>Tsappis</w:t>
      </w:r>
      <w:proofErr w:type="spellEnd"/>
      <w:r w:rsidR="00B65B4E">
        <w:rPr>
          <w:rFonts w:eastAsiaTheme="minorHAnsi"/>
        </w:rPr>
        <w:t>, 2016)</w:t>
      </w:r>
      <w:r w:rsidRPr="00755339">
        <w:rPr>
          <w:rFonts w:eastAsiaTheme="minorHAnsi"/>
          <w:color w:val="000000"/>
        </w:rPr>
        <w:t>.</w:t>
      </w:r>
      <w:r>
        <w:rPr>
          <w:rFonts w:eastAsiaTheme="minorHAnsi"/>
          <w:color w:val="000000"/>
        </w:rPr>
        <w:t xml:space="preserve"> </w:t>
      </w:r>
      <w:r w:rsidR="00C869CA" w:rsidRPr="001C240A">
        <w:rPr>
          <w:rFonts w:eastAsiaTheme="minorHAnsi"/>
          <w:color w:val="000000"/>
        </w:rPr>
        <w:t>T</w:t>
      </w:r>
      <w:r w:rsidR="000448BF" w:rsidRPr="001C240A">
        <w:rPr>
          <w:rFonts w:eastAsiaTheme="minorHAnsi"/>
          <w:color w:val="000000"/>
        </w:rPr>
        <w:t xml:space="preserve">herefore, </w:t>
      </w:r>
      <w:r w:rsidR="00E434FC" w:rsidRPr="001C240A">
        <w:rPr>
          <w:rFonts w:eastAsiaTheme="minorHAnsi"/>
          <w:color w:val="000000"/>
        </w:rPr>
        <w:t xml:space="preserve">this study </w:t>
      </w:r>
      <w:r w:rsidR="001B1444" w:rsidRPr="001C240A">
        <w:rPr>
          <w:rFonts w:eastAsiaTheme="minorHAnsi"/>
          <w:color w:val="000000"/>
        </w:rPr>
        <w:t xml:space="preserve">assessed mediating </w:t>
      </w:r>
      <w:r w:rsidR="00E434FC" w:rsidRPr="001C240A">
        <w:rPr>
          <w:rFonts w:eastAsiaTheme="minorHAnsi"/>
          <w:color w:val="000000"/>
        </w:rPr>
        <w:t>effect</w:t>
      </w:r>
      <w:r w:rsidR="001B1444" w:rsidRPr="001C240A">
        <w:rPr>
          <w:rFonts w:eastAsiaTheme="minorHAnsi"/>
          <w:color w:val="000000"/>
        </w:rPr>
        <w:t>s</w:t>
      </w:r>
      <w:r w:rsidR="00E434FC" w:rsidRPr="001C240A">
        <w:rPr>
          <w:rFonts w:eastAsiaTheme="minorHAnsi"/>
          <w:color w:val="000000"/>
        </w:rPr>
        <w:t xml:space="preserve"> of </w:t>
      </w:r>
      <w:r w:rsidR="00A64D77">
        <w:rPr>
          <w:rFonts w:eastAsiaTheme="minorHAnsi"/>
          <w:color w:val="000000"/>
        </w:rPr>
        <w:t>generalized</w:t>
      </w:r>
      <w:r w:rsidR="009E6ED7">
        <w:rPr>
          <w:rFonts w:eastAsiaTheme="minorHAnsi"/>
          <w:color w:val="000000"/>
        </w:rPr>
        <w:t xml:space="preserve"> (i.e., not specific to one’s SGM identity)</w:t>
      </w:r>
      <w:r w:rsidR="00A64D77">
        <w:rPr>
          <w:rFonts w:eastAsiaTheme="minorHAnsi"/>
          <w:color w:val="000000"/>
        </w:rPr>
        <w:t xml:space="preserve"> </w:t>
      </w:r>
      <w:r w:rsidR="000448BF" w:rsidRPr="001C240A">
        <w:rPr>
          <w:rFonts w:eastAsiaTheme="minorHAnsi"/>
          <w:color w:val="000000"/>
        </w:rPr>
        <w:t xml:space="preserve">family </w:t>
      </w:r>
      <w:r w:rsidR="001B1444" w:rsidRPr="001C240A">
        <w:rPr>
          <w:rFonts w:eastAsiaTheme="minorHAnsi"/>
          <w:color w:val="000000"/>
        </w:rPr>
        <w:t xml:space="preserve">acceptance </w:t>
      </w:r>
      <w:r w:rsidR="000448BF" w:rsidRPr="001C240A">
        <w:rPr>
          <w:rFonts w:eastAsiaTheme="minorHAnsi"/>
          <w:color w:val="000000"/>
        </w:rPr>
        <w:t>and conflict</w:t>
      </w:r>
      <w:r w:rsidR="00E434FC" w:rsidRPr="001C240A">
        <w:rPr>
          <w:rFonts w:eastAsiaTheme="minorHAnsi"/>
          <w:color w:val="000000"/>
        </w:rPr>
        <w:t xml:space="preserve"> on</w:t>
      </w:r>
      <w:r w:rsidR="00E91FC9" w:rsidRPr="001C240A">
        <w:rPr>
          <w:rFonts w:eastAsiaTheme="minorHAnsi"/>
          <w:color w:val="000000"/>
        </w:rPr>
        <w:t xml:space="preserve"> </w:t>
      </w:r>
      <w:r w:rsidR="001A37E7" w:rsidRPr="001C240A">
        <w:rPr>
          <w:rFonts w:eastAsiaTheme="minorHAnsi"/>
          <w:color w:val="000000"/>
        </w:rPr>
        <w:t xml:space="preserve">lifetime </w:t>
      </w:r>
      <w:r w:rsidR="00E91FC9" w:rsidRPr="001C240A">
        <w:rPr>
          <w:rFonts w:eastAsiaTheme="minorHAnsi"/>
          <w:color w:val="000000"/>
        </w:rPr>
        <w:t>suicidal behaviors among</w:t>
      </w:r>
      <w:r w:rsidR="00C869CA" w:rsidRPr="001C240A">
        <w:rPr>
          <w:rFonts w:eastAsiaTheme="minorHAnsi"/>
          <w:color w:val="000000"/>
        </w:rPr>
        <w:t xml:space="preserve"> a large diverse sample </w:t>
      </w:r>
      <w:r w:rsidR="00EE3152" w:rsidRPr="001C240A">
        <w:rPr>
          <w:rFonts w:eastAsiaTheme="minorHAnsi"/>
          <w:color w:val="000000"/>
        </w:rPr>
        <w:t xml:space="preserve">comprising both </w:t>
      </w:r>
      <w:r w:rsidR="00E434FC" w:rsidRPr="001C240A">
        <w:rPr>
          <w:rFonts w:eastAsiaTheme="minorHAnsi"/>
          <w:color w:val="000000"/>
        </w:rPr>
        <w:t>SGM</w:t>
      </w:r>
      <w:r w:rsidR="00EE3152" w:rsidRPr="001C240A">
        <w:rPr>
          <w:rFonts w:eastAsiaTheme="minorHAnsi"/>
          <w:color w:val="000000"/>
        </w:rPr>
        <w:t xml:space="preserve"> and non-SGM</w:t>
      </w:r>
      <w:r w:rsidR="00E434FC" w:rsidRPr="001C240A">
        <w:rPr>
          <w:rFonts w:eastAsiaTheme="minorHAnsi"/>
          <w:color w:val="000000"/>
        </w:rPr>
        <w:t xml:space="preserve"> </w:t>
      </w:r>
      <w:r w:rsidR="00B57D29" w:rsidRPr="001C240A">
        <w:rPr>
          <w:rFonts w:eastAsiaTheme="minorHAnsi"/>
          <w:color w:val="000000"/>
        </w:rPr>
        <w:t>youth</w:t>
      </w:r>
      <w:r w:rsidR="00937592">
        <w:rPr>
          <w:rFonts w:eastAsiaTheme="minorHAnsi"/>
          <w:color w:val="000000"/>
        </w:rPr>
        <w:t xml:space="preserve"> in early adolescence, when intervention to optimize family dynamics may be critical. </w:t>
      </w:r>
    </w:p>
    <w:p w14:paraId="7DB8E51A" w14:textId="41E57125" w:rsidR="00322CE4" w:rsidRPr="001C240A" w:rsidRDefault="00322CE4" w:rsidP="00CF0116">
      <w:pPr>
        <w:rPr>
          <w:b/>
          <w:bCs/>
          <w:color w:val="212121"/>
          <w:shd w:val="clear" w:color="auto" w:fill="FFFFFF"/>
        </w:rPr>
      </w:pPr>
    </w:p>
    <w:p w14:paraId="705FDFD5" w14:textId="67E18912" w:rsidR="000C7140" w:rsidRPr="001C240A" w:rsidRDefault="005F109A" w:rsidP="00CF0116">
      <w:pPr>
        <w:rPr>
          <w:b/>
          <w:bCs/>
          <w:color w:val="212121"/>
          <w:shd w:val="clear" w:color="auto" w:fill="FFFFFF"/>
        </w:rPr>
      </w:pPr>
      <w:r>
        <w:rPr>
          <w:b/>
          <w:bCs/>
          <w:color w:val="212121"/>
          <w:shd w:val="clear" w:color="auto" w:fill="FFFFFF"/>
        </w:rPr>
        <w:t>Materials and Methods</w:t>
      </w:r>
    </w:p>
    <w:p w14:paraId="7E9EAE97" w14:textId="77777777" w:rsidR="002C0633" w:rsidRPr="001C240A" w:rsidRDefault="002C0633" w:rsidP="00CF0116">
      <w:pPr>
        <w:rPr>
          <w:b/>
          <w:bCs/>
          <w:color w:val="212121"/>
          <w:shd w:val="clear" w:color="auto" w:fill="FFFFFF"/>
        </w:rPr>
      </w:pPr>
    </w:p>
    <w:p w14:paraId="7C1F480C" w14:textId="0A6A086A" w:rsidR="00BC663B" w:rsidRPr="00BC663B" w:rsidRDefault="00BC663B" w:rsidP="00C54185">
      <w:pPr>
        <w:autoSpaceDE w:val="0"/>
        <w:autoSpaceDN w:val="0"/>
        <w:adjustRightInd w:val="0"/>
        <w:spacing w:line="480" w:lineRule="auto"/>
        <w:rPr>
          <w:rFonts w:eastAsiaTheme="minorHAnsi"/>
          <w:i/>
          <w:iCs/>
          <w:color w:val="000000"/>
        </w:rPr>
      </w:pPr>
      <w:r w:rsidRPr="00BC663B">
        <w:rPr>
          <w:rFonts w:eastAsiaTheme="minorHAnsi"/>
          <w:i/>
          <w:iCs/>
          <w:color w:val="000000"/>
        </w:rPr>
        <w:t>Participants</w:t>
      </w:r>
    </w:p>
    <w:p w14:paraId="3DC20FBD" w14:textId="0FCAA613" w:rsidR="00BC663B" w:rsidRDefault="00775C69" w:rsidP="00C54185">
      <w:pPr>
        <w:autoSpaceDE w:val="0"/>
        <w:autoSpaceDN w:val="0"/>
        <w:adjustRightInd w:val="0"/>
        <w:spacing w:line="480" w:lineRule="auto"/>
        <w:rPr>
          <w:rFonts w:eastAsiaTheme="minorHAnsi"/>
          <w:color w:val="000000"/>
        </w:rPr>
      </w:pPr>
      <w:r w:rsidRPr="001C240A">
        <w:rPr>
          <w:rFonts w:eastAsiaTheme="minorHAnsi"/>
          <w:color w:val="000000"/>
        </w:rPr>
        <w:t>Data were</w:t>
      </w:r>
      <w:r w:rsidR="00435D9F" w:rsidRPr="001C240A">
        <w:rPr>
          <w:rFonts w:eastAsiaTheme="minorHAnsi"/>
          <w:color w:val="000000"/>
        </w:rPr>
        <w:t xml:space="preserve"> </w:t>
      </w:r>
      <w:r w:rsidRPr="001C240A">
        <w:rPr>
          <w:rFonts w:eastAsiaTheme="minorHAnsi"/>
          <w:color w:val="000000"/>
        </w:rPr>
        <w:t>drawn</w:t>
      </w:r>
      <w:r w:rsidR="00435D9F" w:rsidRPr="001C240A">
        <w:rPr>
          <w:rFonts w:eastAsiaTheme="minorHAnsi"/>
          <w:color w:val="000000"/>
        </w:rPr>
        <w:t xml:space="preserve"> from the first</w:t>
      </w:r>
      <w:r w:rsidR="00EE3152" w:rsidRPr="001C240A">
        <w:rPr>
          <w:rFonts w:eastAsiaTheme="minorHAnsi"/>
          <w:color w:val="000000"/>
        </w:rPr>
        <w:t>-</w:t>
      </w:r>
      <w:r w:rsidR="00435D9F" w:rsidRPr="001C240A">
        <w:rPr>
          <w:rFonts w:eastAsiaTheme="minorHAnsi"/>
          <w:color w:val="000000"/>
        </w:rPr>
        <w:t>year follow-up of the Adolescent Brain Cognitive Development Study (</w:t>
      </w:r>
      <w:hyperlink r:id="rId9" w:history="1">
        <w:r w:rsidR="00435D9F" w:rsidRPr="001C240A">
          <w:rPr>
            <w:rFonts w:eastAsiaTheme="minorHAnsi"/>
            <w:color w:val="000000"/>
          </w:rPr>
          <w:t>https://abcdstudy.org/scientists/protocols/</w:t>
        </w:r>
      </w:hyperlink>
      <w:r w:rsidR="00435D9F" w:rsidRPr="001C240A">
        <w:rPr>
          <w:rFonts w:eastAsiaTheme="minorHAnsi"/>
          <w:color w:val="000000"/>
        </w:rPr>
        <w:t>)</w:t>
      </w:r>
      <w:r w:rsidR="00B65B4E">
        <w:rPr>
          <w:rFonts w:eastAsiaTheme="minorHAnsi"/>
          <w:color w:val="000000"/>
        </w:rPr>
        <w:t xml:space="preserve"> (</w:t>
      </w:r>
      <w:r w:rsidR="00B65B4E" w:rsidRPr="001C240A">
        <w:rPr>
          <w:rFonts w:eastAsiaTheme="minorHAnsi"/>
          <w:color w:val="000000"/>
        </w:rPr>
        <w:t>Adolescent Brain Cognitive Development Study</w:t>
      </w:r>
      <w:r w:rsidR="00B65B4E">
        <w:rPr>
          <w:rFonts w:eastAsiaTheme="minorHAnsi"/>
          <w:color w:val="000000"/>
        </w:rPr>
        <w:t>)</w:t>
      </w:r>
      <w:r w:rsidR="00435D9F" w:rsidRPr="001C240A">
        <w:rPr>
          <w:rFonts w:eastAsiaTheme="minorHAnsi"/>
          <w:color w:val="000000"/>
        </w:rPr>
        <w:t xml:space="preserve">. </w:t>
      </w:r>
      <w:r w:rsidR="004C5371">
        <w:rPr>
          <w:rFonts w:eastAsiaTheme="minorHAnsi"/>
          <w:color w:val="000000"/>
        </w:rPr>
        <w:t>At each study site, parents and youth</w:t>
      </w:r>
      <w:r w:rsidR="00E861DE">
        <w:rPr>
          <w:rFonts w:eastAsiaTheme="minorHAnsi"/>
          <w:color w:val="000000"/>
        </w:rPr>
        <w:t>s</w:t>
      </w:r>
      <w:r w:rsidR="004C5371">
        <w:rPr>
          <w:rFonts w:eastAsiaTheme="minorHAnsi"/>
          <w:color w:val="000000"/>
        </w:rPr>
        <w:t xml:space="preserve"> provided written consent </w:t>
      </w:r>
      <w:r w:rsidR="00E861DE">
        <w:rPr>
          <w:rFonts w:eastAsiaTheme="minorHAnsi"/>
          <w:color w:val="000000"/>
        </w:rPr>
        <w:t>or</w:t>
      </w:r>
      <w:r w:rsidR="004C5371">
        <w:rPr>
          <w:rFonts w:eastAsiaTheme="minorHAnsi"/>
          <w:color w:val="000000"/>
        </w:rPr>
        <w:t xml:space="preserve"> assent, respectively</w:t>
      </w:r>
      <w:r w:rsidR="00B65B4E">
        <w:rPr>
          <w:rFonts w:eastAsiaTheme="minorHAnsi"/>
          <w:color w:val="000000"/>
        </w:rPr>
        <w:t xml:space="preserve"> (</w:t>
      </w:r>
      <w:r w:rsidR="00B65B4E" w:rsidRPr="001C240A">
        <w:rPr>
          <w:rFonts w:eastAsiaTheme="minorHAnsi"/>
          <w:color w:val="000000"/>
        </w:rPr>
        <w:t>Adolescent Brain Cognitive Development Study</w:t>
      </w:r>
      <w:r w:rsidR="00B65B4E">
        <w:rPr>
          <w:rFonts w:eastAsiaTheme="minorHAnsi"/>
          <w:color w:val="000000"/>
        </w:rPr>
        <w:t>)</w:t>
      </w:r>
      <w:r w:rsidR="004C5371">
        <w:rPr>
          <w:rFonts w:eastAsiaTheme="minorHAnsi"/>
          <w:color w:val="000000"/>
        </w:rPr>
        <w:t xml:space="preserve">. </w:t>
      </w:r>
      <w:r w:rsidRPr="001C240A">
        <w:rPr>
          <w:rFonts w:eastAsiaTheme="minorHAnsi"/>
          <w:color w:val="000000"/>
        </w:rPr>
        <w:t>Local study procedures</w:t>
      </w:r>
      <w:r w:rsidR="00435D9F" w:rsidRPr="001C240A">
        <w:rPr>
          <w:rFonts w:eastAsiaTheme="minorHAnsi"/>
          <w:color w:val="000000"/>
        </w:rPr>
        <w:t xml:space="preserve"> were approved by </w:t>
      </w:r>
      <w:r w:rsidR="007932A1">
        <w:rPr>
          <w:rFonts w:eastAsiaTheme="minorHAnsi"/>
          <w:color w:val="000000"/>
        </w:rPr>
        <w:t xml:space="preserve">the </w:t>
      </w:r>
      <w:r w:rsidR="00EF2CE6">
        <w:rPr>
          <w:rFonts w:eastAsiaTheme="minorHAnsi"/>
          <w:color w:val="000000"/>
        </w:rPr>
        <w:t>authors’</w:t>
      </w:r>
      <w:r w:rsidR="00C55553">
        <w:rPr>
          <w:rFonts w:eastAsiaTheme="minorHAnsi"/>
          <w:color w:val="000000"/>
        </w:rPr>
        <w:t xml:space="preserve"> </w:t>
      </w:r>
      <w:r w:rsidR="009E6ED7">
        <w:rPr>
          <w:rFonts w:eastAsiaTheme="minorHAnsi"/>
          <w:color w:val="000000"/>
        </w:rPr>
        <w:t>I</w:t>
      </w:r>
      <w:r w:rsidR="00435D9F" w:rsidRPr="001C240A">
        <w:rPr>
          <w:rFonts w:eastAsiaTheme="minorHAnsi"/>
          <w:color w:val="000000"/>
        </w:rPr>
        <w:t xml:space="preserve">nstitutional </w:t>
      </w:r>
      <w:r w:rsidR="009E6ED7">
        <w:rPr>
          <w:rFonts w:eastAsiaTheme="minorHAnsi"/>
          <w:color w:val="000000"/>
        </w:rPr>
        <w:t>R</w:t>
      </w:r>
      <w:r w:rsidR="00435D9F" w:rsidRPr="001C240A">
        <w:rPr>
          <w:rFonts w:eastAsiaTheme="minorHAnsi"/>
          <w:color w:val="000000"/>
        </w:rPr>
        <w:t xml:space="preserve">eview </w:t>
      </w:r>
      <w:r w:rsidR="009E6ED7">
        <w:rPr>
          <w:rFonts w:eastAsiaTheme="minorHAnsi"/>
          <w:color w:val="000000"/>
        </w:rPr>
        <w:t>B</w:t>
      </w:r>
      <w:r w:rsidR="00435D9F" w:rsidRPr="001C240A">
        <w:rPr>
          <w:rFonts w:eastAsiaTheme="minorHAnsi"/>
          <w:color w:val="000000"/>
        </w:rPr>
        <w:t xml:space="preserve">oard. </w:t>
      </w:r>
      <w:r w:rsidR="0053774E">
        <w:rPr>
          <w:rFonts w:eastAsiaTheme="minorHAnsi"/>
          <w:color w:val="000000"/>
        </w:rPr>
        <w:t>To determine SGM identification, c</w:t>
      </w:r>
      <w:r w:rsidR="00435D9F" w:rsidRPr="001C240A">
        <w:rPr>
          <w:rFonts w:eastAsiaTheme="minorHAnsi"/>
          <w:color w:val="000000"/>
        </w:rPr>
        <w:t xml:space="preserve">hildren were surveyed via </w:t>
      </w:r>
      <w:r w:rsidR="003E2FE9">
        <w:rPr>
          <w:rFonts w:eastAsiaTheme="minorHAnsi"/>
          <w:color w:val="000000"/>
        </w:rPr>
        <w:t xml:space="preserve">a </w:t>
      </w:r>
      <w:r w:rsidR="00435D9F" w:rsidRPr="001C240A">
        <w:rPr>
          <w:rFonts w:eastAsiaTheme="minorHAnsi"/>
          <w:color w:val="000000"/>
        </w:rPr>
        <w:t xml:space="preserve">computerized </w:t>
      </w:r>
      <w:r w:rsidR="003E2FE9">
        <w:rPr>
          <w:rFonts w:eastAsiaTheme="minorHAnsi"/>
          <w:color w:val="000000"/>
        </w:rPr>
        <w:t>query</w:t>
      </w:r>
      <w:r w:rsidR="00435D9F" w:rsidRPr="001C240A">
        <w:rPr>
          <w:rFonts w:eastAsiaTheme="minorHAnsi"/>
          <w:color w:val="000000"/>
        </w:rPr>
        <w:t xml:space="preserve">: “Are you gay or bisexual?” and “Are you transgender?” </w:t>
      </w:r>
      <w:r w:rsidR="0053774E">
        <w:rPr>
          <w:rFonts w:eastAsiaTheme="minorHAnsi"/>
          <w:color w:val="000000"/>
        </w:rPr>
        <w:t>In accordance with prior research, y</w:t>
      </w:r>
      <w:r w:rsidR="00435D9F" w:rsidRPr="001C240A">
        <w:rPr>
          <w:rFonts w:eastAsiaTheme="minorHAnsi"/>
          <w:color w:val="000000"/>
        </w:rPr>
        <w:t xml:space="preserve">ouths responding </w:t>
      </w:r>
      <w:r w:rsidR="001B1444" w:rsidRPr="001C240A">
        <w:rPr>
          <w:rFonts w:eastAsiaTheme="minorHAnsi"/>
          <w:color w:val="000000"/>
        </w:rPr>
        <w:t>“</w:t>
      </w:r>
      <w:r w:rsidR="00435D9F" w:rsidRPr="001C240A">
        <w:rPr>
          <w:rFonts w:eastAsiaTheme="minorHAnsi"/>
          <w:color w:val="000000"/>
        </w:rPr>
        <w:t>yes</w:t>
      </w:r>
      <w:r w:rsidR="001B1444" w:rsidRPr="001C240A">
        <w:rPr>
          <w:rFonts w:eastAsiaTheme="minorHAnsi"/>
          <w:color w:val="000000"/>
        </w:rPr>
        <w:t>”</w:t>
      </w:r>
      <w:r w:rsidR="00435D9F" w:rsidRPr="001C240A">
        <w:rPr>
          <w:rFonts w:eastAsiaTheme="minorHAnsi"/>
          <w:color w:val="000000"/>
        </w:rPr>
        <w:t xml:space="preserve"> or </w:t>
      </w:r>
      <w:r w:rsidR="001B1444" w:rsidRPr="001C240A">
        <w:rPr>
          <w:rFonts w:eastAsiaTheme="minorHAnsi"/>
          <w:color w:val="000000"/>
        </w:rPr>
        <w:t>“</w:t>
      </w:r>
      <w:r w:rsidR="00435D9F" w:rsidRPr="001C240A">
        <w:rPr>
          <w:rFonts w:eastAsiaTheme="minorHAnsi"/>
          <w:color w:val="000000"/>
        </w:rPr>
        <w:t>maybe</w:t>
      </w:r>
      <w:r w:rsidR="001B1444" w:rsidRPr="001C240A">
        <w:rPr>
          <w:rFonts w:eastAsiaTheme="minorHAnsi"/>
          <w:color w:val="000000"/>
        </w:rPr>
        <w:t>”</w:t>
      </w:r>
      <w:r w:rsidR="00435D9F" w:rsidRPr="001C240A">
        <w:rPr>
          <w:rFonts w:eastAsiaTheme="minorHAnsi"/>
          <w:color w:val="000000"/>
        </w:rPr>
        <w:t xml:space="preserve"> to either item were coded as probable </w:t>
      </w:r>
      <w:r w:rsidR="00C54185" w:rsidRPr="001C240A">
        <w:rPr>
          <w:rFonts w:eastAsiaTheme="minorHAnsi"/>
          <w:color w:val="000000"/>
        </w:rPr>
        <w:t>SGM</w:t>
      </w:r>
      <w:r w:rsidR="00B65B4E">
        <w:rPr>
          <w:rFonts w:eastAsiaTheme="minorHAnsi"/>
          <w:color w:val="000000"/>
        </w:rPr>
        <w:t xml:space="preserve"> (</w:t>
      </w:r>
      <w:r w:rsidR="00B65B4E" w:rsidRPr="00BD2E9F">
        <w:rPr>
          <w:rFonts w:eastAsiaTheme="minorHAnsi"/>
          <w:color w:val="000000"/>
        </w:rPr>
        <w:t xml:space="preserve">Schvey, Pearlman, Klein, Murphy, </w:t>
      </w:r>
      <w:r w:rsidR="00B65B4E">
        <w:rPr>
          <w:rFonts w:eastAsiaTheme="minorHAnsi"/>
          <w:color w:val="000000"/>
        </w:rPr>
        <w:t xml:space="preserve">&amp; </w:t>
      </w:r>
      <w:r w:rsidR="00B65B4E" w:rsidRPr="00BD2E9F">
        <w:rPr>
          <w:rFonts w:eastAsiaTheme="minorHAnsi"/>
          <w:color w:val="000000"/>
        </w:rPr>
        <w:t>Gray</w:t>
      </w:r>
      <w:r w:rsidR="00B65B4E">
        <w:rPr>
          <w:rFonts w:eastAsiaTheme="minorHAnsi"/>
          <w:color w:val="000000"/>
        </w:rPr>
        <w:t>, 2021)</w:t>
      </w:r>
      <w:r w:rsidR="00C54185" w:rsidRPr="001C240A">
        <w:rPr>
          <w:rFonts w:eastAsiaTheme="minorHAnsi"/>
          <w:color w:val="000000"/>
        </w:rPr>
        <w:t>.</w:t>
      </w:r>
      <w:r w:rsidR="00810035">
        <w:rPr>
          <w:rFonts w:eastAsiaTheme="minorHAnsi"/>
          <w:color w:val="000000"/>
        </w:rPr>
        <w:t xml:space="preserve"> </w:t>
      </w:r>
      <w:r w:rsidR="00592EB4" w:rsidRPr="001C240A">
        <w:rPr>
          <w:rFonts w:eastAsiaTheme="minorHAnsi"/>
          <w:color w:val="000000"/>
        </w:rPr>
        <w:t xml:space="preserve">Lifetime (past and current) suicidal behaviors </w:t>
      </w:r>
      <w:r w:rsidR="000C7140" w:rsidRPr="001C240A">
        <w:rPr>
          <w:rFonts w:eastAsiaTheme="minorHAnsi"/>
          <w:color w:val="000000"/>
        </w:rPr>
        <w:t xml:space="preserve">were </w:t>
      </w:r>
      <w:r w:rsidR="00592EB4" w:rsidRPr="001C240A">
        <w:rPr>
          <w:rFonts w:eastAsiaTheme="minorHAnsi"/>
          <w:color w:val="000000"/>
        </w:rPr>
        <w:t>self-reported by youths via</w:t>
      </w:r>
      <w:r w:rsidR="000C7140" w:rsidRPr="001C240A">
        <w:rPr>
          <w:rFonts w:eastAsiaTheme="minorHAnsi"/>
          <w:color w:val="000000"/>
        </w:rPr>
        <w:t xml:space="preserve"> the Kiddie Schedule for Affective Disorders and Schizophrenia</w:t>
      </w:r>
      <w:r w:rsidR="00E0777A" w:rsidRPr="001C240A">
        <w:rPr>
          <w:rFonts w:eastAsiaTheme="minorHAnsi"/>
          <w:color w:val="000000"/>
        </w:rPr>
        <w:t xml:space="preserve"> (K-SADS)</w:t>
      </w:r>
      <w:r w:rsidR="00435D9F" w:rsidRPr="001C240A">
        <w:rPr>
          <w:rFonts w:eastAsiaTheme="minorHAnsi"/>
          <w:color w:val="000000"/>
        </w:rPr>
        <w:t>, a computerized semi</w:t>
      </w:r>
      <w:r w:rsidR="00592EB4" w:rsidRPr="001C240A">
        <w:rPr>
          <w:rFonts w:eastAsiaTheme="minorHAnsi"/>
          <w:color w:val="000000"/>
        </w:rPr>
        <w:t>-</w:t>
      </w:r>
      <w:r w:rsidR="00435D9F" w:rsidRPr="001C240A">
        <w:rPr>
          <w:rFonts w:eastAsiaTheme="minorHAnsi"/>
          <w:color w:val="000000"/>
        </w:rPr>
        <w:t>struct</w:t>
      </w:r>
      <w:r w:rsidR="00592EB4" w:rsidRPr="001C240A">
        <w:rPr>
          <w:rFonts w:eastAsiaTheme="minorHAnsi"/>
          <w:color w:val="000000"/>
        </w:rPr>
        <w:t>u</w:t>
      </w:r>
      <w:r w:rsidR="00435D9F" w:rsidRPr="001C240A">
        <w:rPr>
          <w:rFonts w:eastAsiaTheme="minorHAnsi"/>
          <w:color w:val="000000"/>
        </w:rPr>
        <w:t>red diagnostic interview</w:t>
      </w:r>
      <w:r w:rsidR="00B65B4E">
        <w:rPr>
          <w:rFonts w:eastAsiaTheme="minorHAnsi"/>
          <w:color w:val="000000"/>
        </w:rPr>
        <w:t xml:space="preserve"> (</w:t>
      </w:r>
      <w:r w:rsidR="00B65B4E" w:rsidRPr="007932A1">
        <w:rPr>
          <w:rFonts w:eastAsiaTheme="minorHAnsi"/>
        </w:rPr>
        <w:t>Kaufman</w:t>
      </w:r>
      <w:r w:rsidR="00B65B4E">
        <w:rPr>
          <w:rFonts w:eastAsiaTheme="minorHAnsi"/>
        </w:rPr>
        <w:t>,</w:t>
      </w:r>
      <w:r w:rsidR="00B65B4E" w:rsidRPr="007932A1">
        <w:rPr>
          <w:rFonts w:eastAsiaTheme="minorHAnsi"/>
        </w:rPr>
        <w:t xml:space="preserve"> </w:t>
      </w:r>
      <w:proofErr w:type="spellStart"/>
      <w:r w:rsidR="00B65B4E" w:rsidRPr="007932A1">
        <w:rPr>
          <w:rFonts w:eastAsiaTheme="minorHAnsi"/>
        </w:rPr>
        <w:t>Birmaher</w:t>
      </w:r>
      <w:proofErr w:type="spellEnd"/>
      <w:r w:rsidR="00B65B4E" w:rsidRPr="007932A1">
        <w:rPr>
          <w:rFonts w:eastAsiaTheme="minorHAnsi"/>
        </w:rPr>
        <w:t>, Brent,</w:t>
      </w:r>
      <w:r w:rsidR="00FF7C66">
        <w:rPr>
          <w:rFonts w:eastAsiaTheme="minorHAnsi"/>
        </w:rPr>
        <w:t xml:space="preserve"> Rao, Flynn, </w:t>
      </w:r>
      <w:proofErr w:type="spellStart"/>
      <w:r w:rsidR="00FF7C66">
        <w:rPr>
          <w:rFonts w:eastAsiaTheme="minorHAnsi"/>
        </w:rPr>
        <w:t>Moreci</w:t>
      </w:r>
      <w:proofErr w:type="spellEnd"/>
      <w:r w:rsidR="00FF7C66">
        <w:rPr>
          <w:rFonts w:eastAsiaTheme="minorHAnsi"/>
        </w:rPr>
        <w:t>, Williamson, &amp; Ryan</w:t>
      </w:r>
      <w:r w:rsidR="00B65B4E">
        <w:rPr>
          <w:rFonts w:eastAsiaTheme="minorHAnsi"/>
        </w:rPr>
        <w:t>, 1997)</w:t>
      </w:r>
      <w:r w:rsidR="000C7140" w:rsidRPr="001C240A">
        <w:rPr>
          <w:rFonts w:eastAsiaTheme="minorHAnsi"/>
          <w:color w:val="000000"/>
        </w:rPr>
        <w:t xml:space="preserve">. </w:t>
      </w:r>
      <w:r w:rsidR="00592EB4" w:rsidRPr="001C240A">
        <w:rPr>
          <w:rFonts w:eastAsiaTheme="minorHAnsi"/>
          <w:color w:val="000000"/>
        </w:rPr>
        <w:t xml:space="preserve">Youths reporting </w:t>
      </w:r>
      <w:r w:rsidR="00B57D29" w:rsidRPr="001C240A">
        <w:rPr>
          <w:rFonts w:eastAsiaTheme="minorHAnsi"/>
          <w:color w:val="000000"/>
        </w:rPr>
        <w:t>at least one</w:t>
      </w:r>
      <w:r w:rsidR="00592EB4" w:rsidRPr="001C240A">
        <w:rPr>
          <w:rFonts w:eastAsiaTheme="minorHAnsi"/>
          <w:color w:val="000000"/>
        </w:rPr>
        <w:t xml:space="preserve"> suicidal behavior </w:t>
      </w:r>
      <w:r w:rsidR="00EE3152" w:rsidRPr="001C240A">
        <w:rPr>
          <w:rFonts w:eastAsiaTheme="minorHAnsi"/>
          <w:color w:val="000000"/>
        </w:rPr>
        <w:t xml:space="preserve">(i.e., prior attempts and/or preparatory actions) </w:t>
      </w:r>
      <w:r w:rsidR="00592EB4" w:rsidRPr="001C240A">
        <w:rPr>
          <w:rFonts w:eastAsiaTheme="minorHAnsi"/>
          <w:color w:val="000000"/>
        </w:rPr>
        <w:t xml:space="preserve">were </w:t>
      </w:r>
      <w:r w:rsidR="00EE3152" w:rsidRPr="001C240A">
        <w:rPr>
          <w:rFonts w:eastAsiaTheme="minorHAnsi"/>
          <w:color w:val="000000"/>
        </w:rPr>
        <w:t>coded as having</w:t>
      </w:r>
      <w:r w:rsidR="00592EB4" w:rsidRPr="001C240A">
        <w:rPr>
          <w:rFonts w:eastAsiaTheme="minorHAnsi"/>
          <w:color w:val="000000"/>
        </w:rPr>
        <w:t xml:space="preserve"> </w:t>
      </w:r>
      <w:r w:rsidR="0053774E">
        <w:rPr>
          <w:rFonts w:eastAsiaTheme="minorHAnsi"/>
          <w:color w:val="000000"/>
        </w:rPr>
        <w:t>endorsed</w:t>
      </w:r>
      <w:r w:rsidR="0053774E" w:rsidRPr="001C240A">
        <w:rPr>
          <w:rFonts w:eastAsiaTheme="minorHAnsi"/>
          <w:color w:val="000000"/>
        </w:rPr>
        <w:t xml:space="preserve"> </w:t>
      </w:r>
      <w:r w:rsidR="00592EB4" w:rsidRPr="001C240A">
        <w:rPr>
          <w:rFonts w:eastAsiaTheme="minorHAnsi"/>
          <w:color w:val="000000"/>
        </w:rPr>
        <w:t xml:space="preserve">lifetime suicidal behavior. </w:t>
      </w:r>
    </w:p>
    <w:p w14:paraId="07393841" w14:textId="77777777" w:rsidR="00BC663B" w:rsidRDefault="00BC663B" w:rsidP="00C54185">
      <w:pPr>
        <w:autoSpaceDE w:val="0"/>
        <w:autoSpaceDN w:val="0"/>
        <w:adjustRightInd w:val="0"/>
        <w:spacing w:line="480" w:lineRule="auto"/>
        <w:rPr>
          <w:rFonts w:eastAsiaTheme="minorHAnsi"/>
          <w:color w:val="000000"/>
        </w:rPr>
      </w:pPr>
    </w:p>
    <w:p w14:paraId="089D165F" w14:textId="58E29349" w:rsidR="000C7140" w:rsidRPr="001C240A" w:rsidRDefault="00EE3152" w:rsidP="00BC663B">
      <w:pPr>
        <w:autoSpaceDE w:val="0"/>
        <w:autoSpaceDN w:val="0"/>
        <w:adjustRightInd w:val="0"/>
        <w:spacing w:line="480" w:lineRule="auto"/>
        <w:rPr>
          <w:rFonts w:eastAsiaTheme="minorHAnsi"/>
          <w:color w:val="000000"/>
        </w:rPr>
      </w:pPr>
      <w:r w:rsidRPr="001C240A">
        <w:rPr>
          <w:rFonts w:eastAsiaTheme="minorHAnsi"/>
          <w:color w:val="000000"/>
        </w:rPr>
        <w:t>Children’s p</w:t>
      </w:r>
      <w:r w:rsidR="009C5AB7" w:rsidRPr="001C240A">
        <w:rPr>
          <w:rFonts w:eastAsiaTheme="minorHAnsi"/>
          <w:color w:val="000000"/>
        </w:rPr>
        <w:t xml:space="preserve">erceived </w:t>
      </w:r>
      <w:r w:rsidR="00592EB4" w:rsidRPr="001C240A">
        <w:rPr>
          <w:rFonts w:eastAsiaTheme="minorHAnsi"/>
          <w:color w:val="000000"/>
        </w:rPr>
        <w:t xml:space="preserve">parental </w:t>
      </w:r>
      <w:r w:rsidR="009C5AB7" w:rsidRPr="001C240A">
        <w:rPr>
          <w:rFonts w:eastAsiaTheme="minorHAnsi"/>
          <w:color w:val="000000"/>
        </w:rPr>
        <w:t xml:space="preserve">acceptance was assessed using </w:t>
      </w:r>
      <w:r w:rsidR="00D440BF" w:rsidRPr="001C240A">
        <w:rPr>
          <w:rFonts w:eastAsiaTheme="minorHAnsi"/>
          <w:color w:val="000000"/>
        </w:rPr>
        <w:t xml:space="preserve">the sum of </w:t>
      </w:r>
      <w:r w:rsidR="00592EB4" w:rsidRPr="001C240A">
        <w:rPr>
          <w:rFonts w:eastAsiaTheme="minorHAnsi"/>
          <w:color w:val="000000"/>
        </w:rPr>
        <w:t xml:space="preserve">the </w:t>
      </w:r>
      <w:r w:rsidR="009C5AB7" w:rsidRPr="001C240A">
        <w:rPr>
          <w:rFonts w:eastAsiaTheme="minorHAnsi"/>
          <w:color w:val="000000"/>
        </w:rPr>
        <w:t xml:space="preserve">5-item </w:t>
      </w:r>
      <w:r w:rsidR="00592EB4" w:rsidRPr="001C240A">
        <w:rPr>
          <w:rFonts w:eastAsiaTheme="minorHAnsi"/>
          <w:color w:val="000000"/>
        </w:rPr>
        <w:t xml:space="preserve">Acceptance </w:t>
      </w:r>
      <w:r w:rsidR="009C5AB7" w:rsidRPr="001C240A">
        <w:rPr>
          <w:rFonts w:eastAsiaTheme="minorHAnsi"/>
          <w:color w:val="000000"/>
        </w:rPr>
        <w:t>subscale of the Children’s Report of Parent Behavior Inventory</w:t>
      </w:r>
      <w:r w:rsidR="009F4BC7">
        <w:rPr>
          <w:rFonts w:eastAsiaTheme="minorHAnsi"/>
          <w:color w:val="000000"/>
        </w:rPr>
        <w:t>. Sample items include: “(this parent) I</w:t>
      </w:r>
      <w:r w:rsidR="009F4BC7" w:rsidRPr="009F4BC7">
        <w:rPr>
          <w:rFonts w:eastAsiaTheme="minorHAnsi"/>
          <w:color w:val="000000"/>
        </w:rPr>
        <w:t>s able to make</w:t>
      </w:r>
      <w:r w:rsidR="009F4BC7">
        <w:rPr>
          <w:rFonts w:eastAsiaTheme="minorHAnsi"/>
          <w:color w:val="000000"/>
        </w:rPr>
        <w:t xml:space="preserve"> me feel better when I am upset” and “(this parent) </w:t>
      </w:r>
      <w:r w:rsidR="009F4BC7" w:rsidRPr="009F4BC7">
        <w:rPr>
          <w:rFonts w:eastAsiaTheme="minorHAnsi"/>
          <w:color w:val="000000"/>
        </w:rPr>
        <w:t xml:space="preserve">Believes in showing </w:t>
      </w:r>
      <w:r w:rsidR="009F4BC7" w:rsidRPr="009F4BC7">
        <w:rPr>
          <w:rFonts w:eastAsiaTheme="minorHAnsi"/>
          <w:color w:val="000000"/>
        </w:rPr>
        <w:lastRenderedPageBreak/>
        <w:t>his/her love for me</w:t>
      </w:r>
      <w:r w:rsidR="009F4BC7">
        <w:rPr>
          <w:rFonts w:eastAsiaTheme="minorHAnsi"/>
          <w:color w:val="000000"/>
        </w:rPr>
        <w:t>.” Response options range from 1 (not like him/her) to 3 (a lot like him/her)</w:t>
      </w:r>
      <w:r w:rsidR="0053774E">
        <w:rPr>
          <w:rFonts w:eastAsiaTheme="minorHAnsi"/>
          <w:color w:val="000000"/>
        </w:rPr>
        <w:t>; h</w:t>
      </w:r>
      <w:r w:rsidR="00F41332">
        <w:rPr>
          <w:rFonts w:eastAsiaTheme="minorHAnsi"/>
          <w:color w:val="000000"/>
        </w:rPr>
        <w:t xml:space="preserve">igher scores indicate greater family acceptance. </w:t>
      </w:r>
      <w:r w:rsidR="009F4BC7">
        <w:rPr>
          <w:rFonts w:eastAsiaTheme="minorHAnsi"/>
          <w:color w:val="000000"/>
        </w:rPr>
        <w:t>C</w:t>
      </w:r>
      <w:r w:rsidR="00B9105B">
        <w:rPr>
          <w:rFonts w:eastAsiaTheme="minorHAnsi"/>
          <w:color w:val="000000"/>
        </w:rPr>
        <w:t xml:space="preserve">hildren’s </w:t>
      </w:r>
      <w:r w:rsidR="009C5AB7" w:rsidRPr="001C240A">
        <w:rPr>
          <w:rFonts w:eastAsiaTheme="minorHAnsi"/>
          <w:color w:val="000000"/>
        </w:rPr>
        <w:t xml:space="preserve">perceived family conflict was measured using </w:t>
      </w:r>
      <w:r w:rsidR="00592EB4" w:rsidRPr="001C240A">
        <w:rPr>
          <w:rFonts w:eastAsiaTheme="minorHAnsi"/>
          <w:color w:val="000000"/>
        </w:rPr>
        <w:t xml:space="preserve">the </w:t>
      </w:r>
      <w:r w:rsidR="00F52996">
        <w:rPr>
          <w:rFonts w:eastAsiaTheme="minorHAnsi"/>
          <w:color w:val="000000"/>
        </w:rPr>
        <w:t xml:space="preserve">sum of the </w:t>
      </w:r>
      <w:r w:rsidR="00592EB4" w:rsidRPr="001C240A">
        <w:rPr>
          <w:rFonts w:eastAsiaTheme="minorHAnsi"/>
          <w:color w:val="000000"/>
        </w:rPr>
        <w:t xml:space="preserve">Conflict </w:t>
      </w:r>
      <w:r w:rsidR="009C5AB7" w:rsidRPr="001C240A">
        <w:rPr>
          <w:rFonts w:eastAsiaTheme="minorHAnsi"/>
          <w:color w:val="000000"/>
        </w:rPr>
        <w:t>subscale of the Family Environment Scale</w:t>
      </w:r>
      <w:r w:rsidR="009F4BC7">
        <w:rPr>
          <w:rFonts w:eastAsiaTheme="minorHAnsi"/>
          <w:color w:val="000000"/>
        </w:rPr>
        <w:t xml:space="preserve">, which </w:t>
      </w:r>
      <w:r w:rsidR="00FA3B58">
        <w:rPr>
          <w:rFonts w:eastAsiaTheme="minorHAnsi"/>
          <w:color w:val="000000"/>
        </w:rPr>
        <w:t xml:space="preserve">is comprised of </w:t>
      </w:r>
      <w:r w:rsidR="0053774E">
        <w:rPr>
          <w:rFonts w:eastAsiaTheme="minorHAnsi"/>
          <w:color w:val="000000"/>
        </w:rPr>
        <w:t>nine</w:t>
      </w:r>
      <w:r w:rsidR="009F4BC7">
        <w:rPr>
          <w:rFonts w:eastAsiaTheme="minorHAnsi"/>
          <w:color w:val="000000"/>
        </w:rPr>
        <w:t xml:space="preserve"> </w:t>
      </w:r>
      <w:r w:rsidR="0053774E">
        <w:rPr>
          <w:rFonts w:eastAsiaTheme="minorHAnsi"/>
          <w:color w:val="000000"/>
        </w:rPr>
        <w:t>t</w:t>
      </w:r>
      <w:r w:rsidR="009F4BC7">
        <w:rPr>
          <w:rFonts w:eastAsiaTheme="minorHAnsi"/>
          <w:color w:val="000000"/>
        </w:rPr>
        <w:t xml:space="preserve">rue or </w:t>
      </w:r>
      <w:r w:rsidR="0053774E">
        <w:rPr>
          <w:rFonts w:eastAsiaTheme="minorHAnsi"/>
          <w:color w:val="000000"/>
        </w:rPr>
        <w:t>f</w:t>
      </w:r>
      <w:r w:rsidR="009F4BC7">
        <w:rPr>
          <w:rFonts w:eastAsiaTheme="minorHAnsi"/>
          <w:color w:val="000000"/>
        </w:rPr>
        <w:t xml:space="preserve">alse </w:t>
      </w:r>
      <w:r w:rsidR="0053774E">
        <w:rPr>
          <w:rFonts w:eastAsiaTheme="minorHAnsi"/>
          <w:color w:val="000000"/>
        </w:rPr>
        <w:t>statements</w:t>
      </w:r>
      <w:r w:rsidR="009F4BC7">
        <w:rPr>
          <w:rFonts w:eastAsiaTheme="minorHAnsi"/>
          <w:color w:val="000000"/>
        </w:rPr>
        <w:t>, such as “We fight a lot in our family” and “</w:t>
      </w:r>
      <w:r w:rsidR="009F4BC7" w:rsidRPr="009F4BC7">
        <w:rPr>
          <w:rFonts w:eastAsiaTheme="minorHAnsi"/>
          <w:color w:val="000000"/>
        </w:rPr>
        <w:t>Family members</w:t>
      </w:r>
      <w:r w:rsidR="009F4BC7">
        <w:rPr>
          <w:rFonts w:eastAsiaTheme="minorHAnsi"/>
          <w:color w:val="000000"/>
        </w:rPr>
        <w:t xml:space="preserve"> hardly ever lose their tempers (</w:t>
      </w:r>
      <w:r w:rsidR="009F4BC7">
        <w:rPr>
          <w:rFonts w:eastAsiaTheme="minorHAnsi"/>
          <w:i/>
          <w:color w:val="000000"/>
        </w:rPr>
        <w:t>reverse scored</w:t>
      </w:r>
      <w:r w:rsidR="009F4BC7">
        <w:rPr>
          <w:rFonts w:eastAsiaTheme="minorHAnsi"/>
          <w:color w:val="000000"/>
        </w:rPr>
        <w:t xml:space="preserve">).” </w:t>
      </w:r>
      <w:r w:rsidR="00F41332">
        <w:rPr>
          <w:rFonts w:eastAsiaTheme="minorHAnsi"/>
          <w:color w:val="000000"/>
        </w:rPr>
        <w:t xml:space="preserve">Higher scores indicate greater family conflict. </w:t>
      </w:r>
      <w:r w:rsidR="00F52996">
        <w:rPr>
          <w:rFonts w:eastAsiaTheme="minorHAnsi"/>
          <w:color w:val="000000"/>
        </w:rPr>
        <w:t>Both measures demonstrated acceptable internal reliability (Cronbach’s α =.7</w:t>
      </w:r>
      <w:r w:rsidR="00F41332">
        <w:rPr>
          <w:rFonts w:eastAsiaTheme="minorHAnsi"/>
          <w:color w:val="000000"/>
        </w:rPr>
        <w:t>2</w:t>
      </w:r>
      <w:r w:rsidR="00F52996">
        <w:rPr>
          <w:rFonts w:eastAsiaTheme="minorHAnsi"/>
          <w:color w:val="000000"/>
        </w:rPr>
        <w:t xml:space="preserve"> and .67, respectively).</w:t>
      </w:r>
    </w:p>
    <w:p w14:paraId="09DDB4D7" w14:textId="20D18D6C" w:rsidR="000C7140" w:rsidRDefault="000C7140" w:rsidP="00BC663B">
      <w:pPr>
        <w:spacing w:line="480" w:lineRule="auto"/>
        <w:rPr>
          <w:b/>
          <w:bCs/>
          <w:color w:val="212121"/>
          <w:shd w:val="clear" w:color="auto" w:fill="FFFFFF"/>
        </w:rPr>
      </w:pPr>
    </w:p>
    <w:p w14:paraId="222B2394" w14:textId="5E9C45E3" w:rsidR="00BC663B" w:rsidRPr="00BC663B" w:rsidRDefault="00BC663B" w:rsidP="00BC663B">
      <w:pPr>
        <w:spacing w:line="480" w:lineRule="auto"/>
        <w:rPr>
          <w:i/>
          <w:iCs/>
          <w:color w:val="212121"/>
          <w:shd w:val="clear" w:color="auto" w:fill="FFFFFF"/>
        </w:rPr>
      </w:pPr>
      <w:r w:rsidRPr="00BC663B">
        <w:rPr>
          <w:i/>
          <w:iCs/>
          <w:color w:val="212121"/>
          <w:shd w:val="clear" w:color="auto" w:fill="FFFFFF"/>
        </w:rPr>
        <w:t>Statistical Analysis</w:t>
      </w:r>
    </w:p>
    <w:p w14:paraId="01F1D468" w14:textId="770F3C2C" w:rsidR="008058AF" w:rsidRPr="001C240A" w:rsidRDefault="00EE3152" w:rsidP="00BC663B">
      <w:pPr>
        <w:pStyle w:val="Default"/>
        <w:spacing w:line="480" w:lineRule="auto"/>
      </w:pPr>
      <w:r w:rsidRPr="001C240A">
        <w:t xml:space="preserve">Mediation was tested using a binary logistic regression model fitted </w:t>
      </w:r>
      <w:r w:rsidR="003E2FE9">
        <w:t>with a</w:t>
      </w:r>
      <w:r w:rsidRPr="001C240A">
        <w:t xml:space="preserve"> generalized structural equation in STATA 14.0. </w:t>
      </w:r>
      <w:r w:rsidR="001C240A" w:rsidRPr="001C240A">
        <w:t>The m</w:t>
      </w:r>
      <w:r w:rsidRPr="001C240A">
        <w:t xml:space="preserve">odel included SGM status </w:t>
      </w:r>
      <w:r w:rsidR="009E6ED7">
        <w:t xml:space="preserve">(0 = no, 1= yes) </w:t>
      </w:r>
      <w:r w:rsidRPr="001C240A">
        <w:t xml:space="preserve">as the independent variable, family acceptance or family conflict </w:t>
      </w:r>
      <w:r w:rsidR="009E6ED7">
        <w:t xml:space="preserve">sum score </w:t>
      </w:r>
      <w:r w:rsidRPr="001C240A">
        <w:t xml:space="preserve">as the mediator, and the presence </w:t>
      </w:r>
      <w:r w:rsidR="009E6ED7">
        <w:t xml:space="preserve">(0= no, 1= yes) </w:t>
      </w:r>
      <w:r w:rsidRPr="001C240A">
        <w:t>of lifetime suicidal behaviors as the dependent variable</w:t>
      </w:r>
      <w:r w:rsidR="009E6ED7">
        <w:t xml:space="preserve">. Models </w:t>
      </w:r>
      <w:r w:rsidRPr="001C240A">
        <w:t>adjusted for age, birth-assigned sex</w:t>
      </w:r>
      <w:r w:rsidR="009E6ED7">
        <w:t xml:space="preserve"> (as reported by the parent/guardian)</w:t>
      </w:r>
      <w:r w:rsidRPr="001C240A">
        <w:t>, and race/ethnicity</w:t>
      </w:r>
      <w:r w:rsidR="008A18B8" w:rsidRPr="001C240A">
        <w:t xml:space="preserve">. </w:t>
      </w:r>
      <w:r w:rsidR="00957DA0">
        <w:t xml:space="preserve">Missing data </w:t>
      </w:r>
      <w:r w:rsidR="00485D4B">
        <w:t>were handled with</w:t>
      </w:r>
      <w:r w:rsidR="00957DA0">
        <w:t xml:space="preserve"> </w:t>
      </w:r>
      <w:r w:rsidR="007F57B0" w:rsidRPr="007F57B0">
        <w:t>pairwise</w:t>
      </w:r>
      <w:r w:rsidR="007F57B0" w:rsidRPr="007F57B0" w:rsidDel="007F57B0">
        <w:t xml:space="preserve"> </w:t>
      </w:r>
      <w:r w:rsidR="00957DA0">
        <w:t xml:space="preserve">deletion. </w:t>
      </w:r>
      <w:r w:rsidR="008A18B8" w:rsidRPr="001C240A">
        <w:t>Significant mediation is demonstrated whenever the confidence interval of the indirect effect does not include 1</w:t>
      </w:r>
      <w:r w:rsidR="0032708A" w:rsidRPr="001C240A">
        <w:t>.</w:t>
      </w:r>
    </w:p>
    <w:p w14:paraId="337DAD61" w14:textId="77777777" w:rsidR="0032708A" w:rsidRPr="001C240A" w:rsidRDefault="0032708A" w:rsidP="00CF0116">
      <w:pPr>
        <w:rPr>
          <w:b/>
          <w:bCs/>
          <w:color w:val="212121"/>
          <w:shd w:val="clear" w:color="auto" w:fill="FFFFFF"/>
        </w:rPr>
      </w:pPr>
    </w:p>
    <w:p w14:paraId="52FD0CDF" w14:textId="5DBE2D26" w:rsidR="00983568" w:rsidRPr="001C240A" w:rsidRDefault="00983568" w:rsidP="00CF0116">
      <w:pPr>
        <w:rPr>
          <w:b/>
          <w:bCs/>
          <w:color w:val="212121"/>
          <w:shd w:val="clear" w:color="auto" w:fill="FFFFFF"/>
        </w:rPr>
      </w:pPr>
      <w:r w:rsidRPr="001C240A">
        <w:rPr>
          <w:b/>
          <w:bCs/>
          <w:color w:val="212121"/>
          <w:shd w:val="clear" w:color="auto" w:fill="FFFFFF"/>
        </w:rPr>
        <w:t>Results</w:t>
      </w:r>
    </w:p>
    <w:p w14:paraId="1D56377B" w14:textId="77777777" w:rsidR="00D52D5D" w:rsidRPr="001C240A" w:rsidRDefault="00D52D5D" w:rsidP="00CF0116">
      <w:pPr>
        <w:rPr>
          <w:b/>
          <w:bCs/>
          <w:color w:val="212121"/>
          <w:shd w:val="clear" w:color="auto" w:fill="FFFFFF"/>
        </w:rPr>
      </w:pPr>
    </w:p>
    <w:p w14:paraId="174C61CB" w14:textId="6BE587C8" w:rsidR="008058AF" w:rsidRPr="001C240A" w:rsidRDefault="008A18B8" w:rsidP="00D33A80">
      <w:pPr>
        <w:pStyle w:val="Default"/>
        <w:spacing w:line="480" w:lineRule="auto"/>
        <w:rPr>
          <w:rFonts w:eastAsia="Times New Roman"/>
          <w:bCs/>
        </w:rPr>
      </w:pPr>
      <w:r w:rsidRPr="001C240A">
        <w:rPr>
          <w:rFonts w:eastAsia="Times New Roman"/>
          <w:bCs/>
        </w:rPr>
        <w:t xml:space="preserve">The sample comprised </w:t>
      </w:r>
      <w:r w:rsidR="008058AF" w:rsidRPr="001C240A">
        <w:rPr>
          <w:rFonts w:eastAsia="Times New Roman"/>
          <w:bCs/>
        </w:rPr>
        <w:t>11</w:t>
      </w:r>
      <w:r w:rsidR="00D33A80" w:rsidRPr="001C240A">
        <w:rPr>
          <w:rFonts w:eastAsia="Times New Roman"/>
          <w:bCs/>
        </w:rPr>
        <w:t xml:space="preserve">,235 youth </w:t>
      </w:r>
      <w:r w:rsidRPr="001C240A">
        <w:rPr>
          <w:rFonts w:eastAsia="Times New Roman"/>
          <w:bCs/>
        </w:rPr>
        <w:t>(M</w:t>
      </w:r>
      <w:r w:rsidR="008058AF" w:rsidRPr="001C240A">
        <w:rPr>
          <w:rFonts w:eastAsia="Times New Roman"/>
          <w:bCs/>
          <w:vertAlign w:val="subscript"/>
        </w:rPr>
        <w:t>age</w:t>
      </w:r>
      <w:r w:rsidR="00207BD0">
        <w:rPr>
          <w:rFonts w:eastAsia="Times New Roman"/>
          <w:bCs/>
          <w:vertAlign w:val="subscript"/>
        </w:rPr>
        <w:t xml:space="preserve"> </w:t>
      </w:r>
      <w:r w:rsidRPr="001C240A">
        <w:rPr>
          <w:rFonts w:eastAsia="Times New Roman"/>
          <w:bCs/>
        </w:rPr>
        <w:t>=</w:t>
      </w:r>
      <w:r w:rsidR="00207BD0">
        <w:rPr>
          <w:rFonts w:eastAsia="Times New Roman"/>
          <w:bCs/>
        </w:rPr>
        <w:t xml:space="preserve"> </w:t>
      </w:r>
      <w:r w:rsidR="008058AF" w:rsidRPr="001C240A">
        <w:rPr>
          <w:rFonts w:eastAsia="Times New Roman"/>
          <w:bCs/>
        </w:rPr>
        <w:t>1</w:t>
      </w:r>
      <w:r w:rsidRPr="001C240A">
        <w:rPr>
          <w:rFonts w:eastAsia="Times New Roman"/>
          <w:bCs/>
        </w:rPr>
        <w:t>0.93</w:t>
      </w:r>
      <w:r w:rsidR="00207BD0">
        <w:rPr>
          <w:rFonts w:eastAsia="Times New Roman"/>
          <w:bCs/>
        </w:rPr>
        <w:t xml:space="preserve"> </w:t>
      </w:r>
      <w:r w:rsidR="008058AF" w:rsidRPr="001C240A">
        <w:rPr>
          <w:rFonts w:eastAsia="Times New Roman"/>
          <w:bCs/>
        </w:rPr>
        <w:t>±</w:t>
      </w:r>
      <w:r w:rsidR="00207BD0">
        <w:rPr>
          <w:rFonts w:eastAsia="Times New Roman"/>
          <w:bCs/>
        </w:rPr>
        <w:t xml:space="preserve"> </w:t>
      </w:r>
      <w:r w:rsidRPr="001C240A">
        <w:rPr>
          <w:rFonts w:eastAsia="Times New Roman"/>
          <w:bCs/>
        </w:rPr>
        <w:t>.64</w:t>
      </w:r>
      <w:r w:rsidR="00D33A80" w:rsidRPr="001C240A">
        <w:rPr>
          <w:rFonts w:eastAsia="Times New Roman"/>
          <w:bCs/>
        </w:rPr>
        <w:t xml:space="preserve"> </w:t>
      </w:r>
      <w:r w:rsidR="00AD649C" w:rsidRPr="001C240A">
        <w:rPr>
          <w:rFonts w:eastAsia="Times New Roman"/>
          <w:bCs/>
        </w:rPr>
        <w:t>years</w:t>
      </w:r>
      <w:r w:rsidRPr="001C240A">
        <w:rPr>
          <w:rFonts w:eastAsia="Times New Roman"/>
          <w:bCs/>
        </w:rPr>
        <w:t xml:space="preserve">; 47.7% birth-assigned females, 53.3% white, 14.2% Black, 19.8% Hispanic, 2.2% Asian, </w:t>
      </w:r>
      <w:r w:rsidR="00D33A80" w:rsidRPr="001C240A">
        <w:rPr>
          <w:rFonts w:eastAsia="Times New Roman"/>
          <w:bCs/>
        </w:rPr>
        <w:t xml:space="preserve">and </w:t>
      </w:r>
      <w:r w:rsidR="00D90AD8">
        <w:rPr>
          <w:rFonts w:eastAsia="Times New Roman"/>
          <w:bCs/>
        </w:rPr>
        <w:t>10.5</w:t>
      </w:r>
      <w:r w:rsidR="008C0B2D" w:rsidRPr="001C240A">
        <w:rPr>
          <w:rFonts w:eastAsia="Times New Roman"/>
          <w:bCs/>
        </w:rPr>
        <w:t>% “Other</w:t>
      </w:r>
      <w:r w:rsidRPr="001C240A">
        <w:rPr>
          <w:rFonts w:eastAsia="Times New Roman"/>
          <w:bCs/>
        </w:rPr>
        <w:t>”</w:t>
      </w:r>
      <w:r w:rsidR="004533FA">
        <w:rPr>
          <w:rFonts w:eastAsia="Times New Roman"/>
          <w:bCs/>
        </w:rPr>
        <w:t>)</w:t>
      </w:r>
      <w:r w:rsidR="007C5985">
        <w:rPr>
          <w:rFonts w:eastAsia="Times New Roman"/>
          <w:bCs/>
        </w:rPr>
        <w:t xml:space="preserve"> (table 1)</w:t>
      </w:r>
      <w:r w:rsidR="008C0B2D" w:rsidRPr="001C240A">
        <w:rPr>
          <w:rFonts w:eastAsia="Times New Roman"/>
          <w:bCs/>
        </w:rPr>
        <w:t>.</w:t>
      </w:r>
      <w:r w:rsidR="00D33A80" w:rsidRPr="001C240A">
        <w:rPr>
          <w:rFonts w:eastAsia="Times New Roman"/>
          <w:bCs/>
        </w:rPr>
        <w:t xml:space="preserve"> </w:t>
      </w:r>
      <w:r w:rsidRPr="001C240A">
        <w:rPr>
          <w:rFonts w:eastAsia="Times New Roman"/>
          <w:bCs/>
        </w:rPr>
        <w:t xml:space="preserve">Approximately 4% </w:t>
      </w:r>
      <w:r w:rsidR="0053774E">
        <w:rPr>
          <w:rFonts w:eastAsia="Times New Roman"/>
          <w:bCs/>
        </w:rPr>
        <w:t xml:space="preserve">(n = 436) </w:t>
      </w:r>
      <w:r w:rsidRPr="001C240A">
        <w:rPr>
          <w:rFonts w:eastAsia="Times New Roman"/>
          <w:bCs/>
        </w:rPr>
        <w:t>of the sample reported</w:t>
      </w:r>
      <w:r w:rsidR="009D27B6">
        <w:rPr>
          <w:rFonts w:eastAsia="Times New Roman"/>
          <w:bCs/>
        </w:rPr>
        <w:t xml:space="preserve"> probable </w:t>
      </w:r>
      <w:r w:rsidR="0053774E">
        <w:rPr>
          <w:rFonts w:eastAsia="Times New Roman"/>
          <w:bCs/>
        </w:rPr>
        <w:t xml:space="preserve">sexual (3.5%, </w:t>
      </w:r>
      <w:r w:rsidR="0053774E" w:rsidRPr="00957DA0">
        <w:rPr>
          <w:rFonts w:eastAsia="Times New Roman"/>
          <w:bCs/>
          <w:i/>
        </w:rPr>
        <w:t>n</w:t>
      </w:r>
      <w:r w:rsidR="0053774E">
        <w:rPr>
          <w:rFonts w:eastAsia="Times New Roman"/>
          <w:bCs/>
        </w:rPr>
        <w:t xml:space="preserve"> = 391) and/or gender (.9%, </w:t>
      </w:r>
      <w:r w:rsidR="0053774E" w:rsidRPr="00957DA0">
        <w:rPr>
          <w:rFonts w:eastAsia="Times New Roman"/>
          <w:bCs/>
          <w:i/>
        </w:rPr>
        <w:t>n</w:t>
      </w:r>
      <w:r w:rsidR="0053774E">
        <w:rPr>
          <w:rFonts w:eastAsia="Times New Roman"/>
          <w:bCs/>
        </w:rPr>
        <w:t xml:space="preserve"> = 99) minority i</w:t>
      </w:r>
      <w:r w:rsidR="009D27B6">
        <w:rPr>
          <w:rFonts w:eastAsia="Times New Roman"/>
          <w:bCs/>
        </w:rPr>
        <w:t>dentification</w:t>
      </w:r>
      <w:r w:rsidRPr="001C240A">
        <w:rPr>
          <w:rFonts w:eastAsia="Times New Roman"/>
          <w:bCs/>
        </w:rPr>
        <w:t xml:space="preserve">. Lifetime suicidal behaviors were reported by </w:t>
      </w:r>
      <w:r w:rsidR="008238BF" w:rsidRPr="001C240A">
        <w:rPr>
          <w:rFonts w:eastAsia="Times New Roman"/>
          <w:bCs/>
        </w:rPr>
        <w:t>1.5% (n</w:t>
      </w:r>
      <w:r w:rsidR="00207BD0">
        <w:rPr>
          <w:rFonts w:eastAsia="Times New Roman"/>
          <w:bCs/>
        </w:rPr>
        <w:t xml:space="preserve"> </w:t>
      </w:r>
      <w:r w:rsidR="008238BF" w:rsidRPr="001C240A">
        <w:rPr>
          <w:rFonts w:eastAsia="Times New Roman"/>
          <w:bCs/>
        </w:rPr>
        <w:t>=</w:t>
      </w:r>
      <w:r w:rsidR="00207BD0">
        <w:rPr>
          <w:rFonts w:eastAsia="Times New Roman"/>
          <w:bCs/>
        </w:rPr>
        <w:t xml:space="preserve"> </w:t>
      </w:r>
      <w:r w:rsidRPr="001C240A">
        <w:rPr>
          <w:rFonts w:eastAsia="Times New Roman"/>
          <w:bCs/>
        </w:rPr>
        <w:t>164</w:t>
      </w:r>
      <w:r w:rsidR="002555B2">
        <w:rPr>
          <w:rFonts w:eastAsia="Times New Roman"/>
          <w:bCs/>
        </w:rPr>
        <w:t>) of youths (7.4% of SGM youths</w:t>
      </w:r>
      <w:r w:rsidR="0053774E">
        <w:rPr>
          <w:rFonts w:eastAsia="Times New Roman"/>
          <w:bCs/>
        </w:rPr>
        <w:t xml:space="preserve"> and </w:t>
      </w:r>
      <w:r w:rsidRPr="001C240A">
        <w:rPr>
          <w:rFonts w:eastAsia="Times New Roman"/>
          <w:bCs/>
        </w:rPr>
        <w:t>1.2% of non-SGM youths</w:t>
      </w:r>
      <w:r w:rsidR="0053774E">
        <w:rPr>
          <w:rFonts w:eastAsia="Times New Roman"/>
          <w:bCs/>
        </w:rPr>
        <w:t xml:space="preserve">, </w:t>
      </w:r>
      <w:r w:rsidR="0053774E">
        <w:rPr>
          <w:rFonts w:eastAsia="Times New Roman"/>
          <w:bCs/>
        </w:rPr>
        <w:sym w:font="Symbol" w:char="F063"/>
      </w:r>
      <w:r w:rsidR="0053774E">
        <w:rPr>
          <w:rFonts w:eastAsia="Times New Roman"/>
          <w:bCs/>
          <w:vertAlign w:val="superscript"/>
        </w:rPr>
        <w:t>2</w:t>
      </w:r>
      <w:r w:rsidR="0053774E">
        <w:rPr>
          <w:rFonts w:eastAsia="Times New Roman"/>
          <w:bCs/>
        </w:rPr>
        <w:t xml:space="preserve"> = 108.19, </w:t>
      </w:r>
      <w:r w:rsidR="0053774E">
        <w:rPr>
          <w:rFonts w:eastAsia="Times New Roman"/>
          <w:bCs/>
          <w:i/>
        </w:rPr>
        <w:t xml:space="preserve">p </w:t>
      </w:r>
      <w:r w:rsidR="0053774E">
        <w:rPr>
          <w:rFonts w:eastAsia="Times New Roman"/>
          <w:bCs/>
        </w:rPr>
        <w:t>&lt; .001</w:t>
      </w:r>
      <w:r w:rsidRPr="001C240A">
        <w:rPr>
          <w:rFonts w:eastAsia="Times New Roman"/>
          <w:bCs/>
        </w:rPr>
        <w:t xml:space="preserve">). </w:t>
      </w:r>
      <w:r w:rsidR="002C5232" w:rsidRPr="001C240A">
        <w:rPr>
          <w:rFonts w:eastAsia="Times New Roman"/>
          <w:bCs/>
        </w:rPr>
        <w:lastRenderedPageBreak/>
        <w:t xml:space="preserve">The </w:t>
      </w:r>
      <w:r w:rsidR="008058AF" w:rsidRPr="001C240A">
        <w:rPr>
          <w:rFonts w:eastAsia="Times New Roman"/>
          <w:bCs/>
        </w:rPr>
        <w:t xml:space="preserve">mean </w:t>
      </w:r>
      <w:r w:rsidR="008701C9">
        <w:rPr>
          <w:rFonts w:eastAsia="Times New Roman"/>
          <w:bCs/>
        </w:rPr>
        <w:t>parental</w:t>
      </w:r>
      <w:r w:rsidR="008701C9" w:rsidRPr="001C240A">
        <w:rPr>
          <w:rFonts w:eastAsia="Times New Roman"/>
          <w:bCs/>
        </w:rPr>
        <w:t xml:space="preserve"> </w:t>
      </w:r>
      <w:r w:rsidR="008058AF" w:rsidRPr="001C240A">
        <w:rPr>
          <w:rFonts w:eastAsia="Times New Roman"/>
          <w:bCs/>
        </w:rPr>
        <w:t xml:space="preserve">acceptance </w:t>
      </w:r>
      <w:r w:rsidR="002C5232" w:rsidRPr="001C240A">
        <w:rPr>
          <w:rFonts w:eastAsia="Times New Roman"/>
          <w:bCs/>
        </w:rPr>
        <w:t xml:space="preserve">score </w:t>
      </w:r>
      <w:r w:rsidR="00D33A80" w:rsidRPr="001C240A">
        <w:rPr>
          <w:rFonts w:eastAsia="Times New Roman"/>
          <w:bCs/>
        </w:rPr>
        <w:t xml:space="preserve">was </w:t>
      </w:r>
      <w:r w:rsidR="009D27B6">
        <w:rPr>
          <w:rFonts w:eastAsia="Times New Roman"/>
          <w:bCs/>
        </w:rPr>
        <w:t>1</w:t>
      </w:r>
      <w:r w:rsidR="0053774E">
        <w:rPr>
          <w:rFonts w:eastAsia="Times New Roman"/>
          <w:bCs/>
        </w:rPr>
        <w:t>4.0</w:t>
      </w:r>
      <w:r w:rsidR="00207BD0">
        <w:rPr>
          <w:rFonts w:eastAsia="Times New Roman"/>
          <w:bCs/>
        </w:rPr>
        <w:t xml:space="preserve"> </w:t>
      </w:r>
      <w:r w:rsidR="009D27B6">
        <w:rPr>
          <w:rFonts w:eastAsia="Times New Roman"/>
          <w:bCs/>
        </w:rPr>
        <w:t>±</w:t>
      </w:r>
      <w:r w:rsidR="00207BD0">
        <w:rPr>
          <w:rFonts w:eastAsia="Times New Roman"/>
          <w:bCs/>
        </w:rPr>
        <w:t xml:space="preserve"> </w:t>
      </w:r>
      <w:r w:rsidR="008058AF" w:rsidRPr="001C240A">
        <w:rPr>
          <w:rFonts w:eastAsia="Times New Roman"/>
          <w:bCs/>
        </w:rPr>
        <w:t>1.</w:t>
      </w:r>
      <w:r w:rsidR="0053774E">
        <w:rPr>
          <w:rFonts w:eastAsia="Times New Roman"/>
          <w:bCs/>
        </w:rPr>
        <w:t>4</w:t>
      </w:r>
      <w:r w:rsidR="0053774E" w:rsidRPr="001C240A">
        <w:rPr>
          <w:rFonts w:eastAsia="Times New Roman"/>
          <w:bCs/>
        </w:rPr>
        <w:t xml:space="preserve"> </w:t>
      </w:r>
      <w:r w:rsidR="008058AF" w:rsidRPr="001C240A">
        <w:rPr>
          <w:rFonts w:eastAsia="Times New Roman"/>
          <w:bCs/>
        </w:rPr>
        <w:t>(range:</w:t>
      </w:r>
      <w:r w:rsidR="00D33A80" w:rsidRPr="001C240A">
        <w:rPr>
          <w:rFonts w:eastAsia="Times New Roman"/>
          <w:bCs/>
        </w:rPr>
        <w:t xml:space="preserve"> </w:t>
      </w:r>
      <w:r w:rsidR="008058AF" w:rsidRPr="001C240A">
        <w:rPr>
          <w:rFonts w:eastAsia="Times New Roman"/>
          <w:bCs/>
        </w:rPr>
        <w:t>5</w:t>
      </w:r>
      <w:r w:rsidR="00D90AD8">
        <w:rPr>
          <w:rFonts w:eastAsia="Times New Roman"/>
          <w:bCs/>
        </w:rPr>
        <w:t xml:space="preserve"> ‒ </w:t>
      </w:r>
      <w:r w:rsidR="008058AF" w:rsidRPr="001C240A">
        <w:rPr>
          <w:rFonts w:eastAsia="Times New Roman"/>
          <w:bCs/>
        </w:rPr>
        <w:t>15)</w:t>
      </w:r>
      <w:r w:rsidR="00B34565" w:rsidRPr="001C240A">
        <w:rPr>
          <w:rFonts w:eastAsia="Times New Roman"/>
          <w:bCs/>
        </w:rPr>
        <w:t xml:space="preserve"> and mea</w:t>
      </w:r>
      <w:r w:rsidR="009D27B6">
        <w:rPr>
          <w:rFonts w:eastAsia="Times New Roman"/>
          <w:bCs/>
        </w:rPr>
        <w:t xml:space="preserve">n family conflict score was </w:t>
      </w:r>
      <w:r w:rsidR="00F52996">
        <w:rPr>
          <w:rFonts w:eastAsia="Times New Roman"/>
          <w:bCs/>
        </w:rPr>
        <w:t>1.9</w:t>
      </w:r>
      <w:r w:rsidR="00F41332">
        <w:rPr>
          <w:rFonts w:eastAsia="Times New Roman"/>
          <w:bCs/>
        </w:rPr>
        <w:t>2</w:t>
      </w:r>
      <w:r w:rsidR="009D27B6">
        <w:rPr>
          <w:rFonts w:eastAsia="Times New Roman"/>
          <w:bCs/>
        </w:rPr>
        <w:t>±</w:t>
      </w:r>
      <w:r w:rsidR="00B34565" w:rsidRPr="001C240A">
        <w:rPr>
          <w:rFonts w:eastAsia="Times New Roman"/>
          <w:bCs/>
        </w:rPr>
        <w:t>1.</w:t>
      </w:r>
      <w:r w:rsidR="00F41332">
        <w:rPr>
          <w:rFonts w:eastAsia="Times New Roman"/>
          <w:bCs/>
        </w:rPr>
        <w:t>88</w:t>
      </w:r>
      <w:r w:rsidR="00F52996" w:rsidRPr="001C240A">
        <w:rPr>
          <w:rFonts w:eastAsia="Times New Roman"/>
          <w:bCs/>
        </w:rPr>
        <w:t xml:space="preserve"> </w:t>
      </w:r>
      <w:r w:rsidR="00B34565" w:rsidRPr="001C240A">
        <w:rPr>
          <w:rFonts w:eastAsia="Times New Roman"/>
          <w:bCs/>
        </w:rPr>
        <w:t>(range: 0</w:t>
      </w:r>
      <w:r w:rsidR="00D90AD8">
        <w:rPr>
          <w:rFonts w:eastAsia="Times New Roman"/>
          <w:bCs/>
        </w:rPr>
        <w:t xml:space="preserve"> ‒ </w:t>
      </w:r>
      <w:r w:rsidR="00B34565" w:rsidRPr="001C240A">
        <w:rPr>
          <w:rFonts w:eastAsia="Times New Roman"/>
          <w:bCs/>
        </w:rPr>
        <w:t>9)</w:t>
      </w:r>
      <w:r w:rsidR="008058AF" w:rsidRPr="001C240A">
        <w:rPr>
          <w:rFonts w:eastAsia="Times New Roman"/>
          <w:bCs/>
        </w:rPr>
        <w:t xml:space="preserve">. </w:t>
      </w:r>
    </w:p>
    <w:p w14:paraId="17382873" w14:textId="77777777" w:rsidR="00ED7881" w:rsidRDefault="00ED7881" w:rsidP="00D33A80">
      <w:pPr>
        <w:pStyle w:val="Default"/>
        <w:spacing w:line="480" w:lineRule="auto"/>
        <w:rPr>
          <w:rFonts w:eastAsia="Times New Roman"/>
          <w:bCs/>
        </w:rPr>
      </w:pPr>
    </w:p>
    <w:p w14:paraId="693BCA70" w14:textId="3536D337" w:rsidR="0095454B" w:rsidRPr="00021E13" w:rsidRDefault="008058AF" w:rsidP="00D33A80">
      <w:pPr>
        <w:pStyle w:val="Default"/>
        <w:spacing w:line="480" w:lineRule="auto"/>
        <w:rPr>
          <w:rFonts w:eastAsia="Times New Roman"/>
          <w:bCs/>
        </w:rPr>
      </w:pPr>
      <w:r w:rsidRPr="001C240A">
        <w:rPr>
          <w:rFonts w:eastAsia="Times New Roman"/>
          <w:bCs/>
        </w:rPr>
        <w:t xml:space="preserve">SGM </w:t>
      </w:r>
      <w:r w:rsidR="00C02D63" w:rsidRPr="001C240A">
        <w:rPr>
          <w:rFonts w:eastAsia="Times New Roman"/>
          <w:bCs/>
        </w:rPr>
        <w:t xml:space="preserve">identification </w:t>
      </w:r>
      <w:r w:rsidR="00EE3152" w:rsidRPr="001C240A">
        <w:rPr>
          <w:rFonts w:eastAsia="Times New Roman"/>
          <w:bCs/>
        </w:rPr>
        <w:t xml:space="preserve">was negatively associated with </w:t>
      </w:r>
      <w:r w:rsidR="00C72944">
        <w:rPr>
          <w:rFonts w:eastAsia="Times New Roman"/>
          <w:bCs/>
        </w:rPr>
        <w:t>p</w:t>
      </w:r>
      <w:r w:rsidR="00C72944" w:rsidRPr="00C72944">
        <w:rPr>
          <w:rFonts w:eastAsia="Times New Roman"/>
          <w:bCs/>
        </w:rPr>
        <w:t xml:space="preserve">arental </w:t>
      </w:r>
      <w:r w:rsidRPr="001C240A">
        <w:rPr>
          <w:rFonts w:eastAsia="Times New Roman"/>
          <w:bCs/>
        </w:rPr>
        <w:t>acceptance (OR</w:t>
      </w:r>
      <w:r w:rsidR="00207BD0">
        <w:rPr>
          <w:rFonts w:eastAsia="Times New Roman"/>
          <w:bCs/>
        </w:rPr>
        <w:t xml:space="preserve"> </w:t>
      </w:r>
      <w:r w:rsidRPr="001C240A">
        <w:rPr>
          <w:rFonts w:eastAsia="Times New Roman"/>
          <w:bCs/>
        </w:rPr>
        <w:t>=</w:t>
      </w:r>
      <w:r w:rsidR="00207BD0">
        <w:rPr>
          <w:rFonts w:eastAsia="Times New Roman"/>
          <w:bCs/>
        </w:rPr>
        <w:t xml:space="preserve"> </w:t>
      </w:r>
      <w:r w:rsidRPr="001C240A">
        <w:rPr>
          <w:rFonts w:eastAsia="Times New Roman"/>
          <w:bCs/>
        </w:rPr>
        <w:t>0.60; 95% CI: 0.53-0.68)</w:t>
      </w:r>
      <w:r w:rsidR="009C6785">
        <w:rPr>
          <w:rFonts w:eastAsia="Times New Roman"/>
          <w:bCs/>
        </w:rPr>
        <w:t xml:space="preserve">, such that </w:t>
      </w:r>
      <w:r w:rsidR="00A9548F">
        <w:rPr>
          <w:rFonts w:eastAsia="Times New Roman"/>
          <w:bCs/>
        </w:rPr>
        <w:t>youths with</w:t>
      </w:r>
      <w:r w:rsidRPr="001C240A">
        <w:rPr>
          <w:rFonts w:eastAsia="Times New Roman"/>
          <w:bCs/>
        </w:rPr>
        <w:t xml:space="preserve"> </w:t>
      </w:r>
      <w:r w:rsidR="00A9548F" w:rsidRPr="00C72944">
        <w:t>SGM identities reported</w:t>
      </w:r>
      <w:r w:rsidR="00A9548F">
        <w:t xml:space="preserve"> 40%</w:t>
      </w:r>
      <w:r w:rsidR="00A9548F" w:rsidRPr="00C72944">
        <w:t xml:space="preserve"> less </w:t>
      </w:r>
      <w:r w:rsidR="00485986">
        <w:t>parental</w:t>
      </w:r>
      <w:r w:rsidR="00485986" w:rsidRPr="00C72944">
        <w:t xml:space="preserve"> </w:t>
      </w:r>
      <w:r w:rsidR="00A9548F" w:rsidRPr="00C72944">
        <w:t xml:space="preserve">acceptance </w:t>
      </w:r>
      <w:r w:rsidR="00A9548F">
        <w:t xml:space="preserve">than non-SGM peers. </w:t>
      </w:r>
      <w:r w:rsidR="00A9548F">
        <w:rPr>
          <w:rFonts w:eastAsia="Times New Roman"/>
          <w:bCs/>
        </w:rPr>
        <w:t>Further, g</w:t>
      </w:r>
      <w:r w:rsidR="00923866">
        <w:rPr>
          <w:rFonts w:eastAsia="Times New Roman"/>
          <w:bCs/>
        </w:rPr>
        <w:t xml:space="preserve">reater </w:t>
      </w:r>
      <w:r w:rsidR="00C72944">
        <w:rPr>
          <w:rFonts w:eastAsia="Times New Roman"/>
          <w:bCs/>
        </w:rPr>
        <w:t>parental</w:t>
      </w:r>
      <w:r w:rsidR="00C72944" w:rsidRPr="001C240A">
        <w:rPr>
          <w:rFonts w:eastAsia="Times New Roman"/>
          <w:bCs/>
        </w:rPr>
        <w:t xml:space="preserve"> </w:t>
      </w:r>
      <w:r w:rsidR="008A18B8" w:rsidRPr="001C240A">
        <w:rPr>
          <w:rFonts w:eastAsia="Times New Roman"/>
          <w:bCs/>
        </w:rPr>
        <w:t xml:space="preserve">acceptance </w:t>
      </w:r>
      <w:r w:rsidR="00EE3152" w:rsidRPr="001C240A">
        <w:rPr>
          <w:rFonts w:eastAsia="Times New Roman"/>
          <w:bCs/>
        </w:rPr>
        <w:t xml:space="preserve">was associated with lower odds </w:t>
      </w:r>
      <w:r w:rsidR="008A18B8" w:rsidRPr="001C240A">
        <w:rPr>
          <w:rFonts w:eastAsia="Times New Roman"/>
          <w:bCs/>
        </w:rPr>
        <w:t>of lifetime suicidal behaviors (OR</w:t>
      </w:r>
      <w:r w:rsidR="00207BD0">
        <w:rPr>
          <w:rFonts w:eastAsia="Times New Roman"/>
          <w:bCs/>
        </w:rPr>
        <w:t xml:space="preserve"> </w:t>
      </w:r>
      <w:r w:rsidR="008A18B8" w:rsidRPr="001C240A">
        <w:rPr>
          <w:rFonts w:eastAsia="Times New Roman"/>
          <w:bCs/>
        </w:rPr>
        <w:t>=</w:t>
      </w:r>
      <w:r w:rsidR="00207BD0">
        <w:rPr>
          <w:rFonts w:eastAsia="Times New Roman"/>
          <w:bCs/>
        </w:rPr>
        <w:t xml:space="preserve"> </w:t>
      </w:r>
      <w:r w:rsidR="008A18B8" w:rsidRPr="001C240A">
        <w:rPr>
          <w:rFonts w:eastAsia="Times New Roman"/>
          <w:bCs/>
        </w:rPr>
        <w:t>0.</w:t>
      </w:r>
      <w:r w:rsidR="00755339">
        <w:rPr>
          <w:rFonts w:eastAsia="Times New Roman"/>
          <w:bCs/>
        </w:rPr>
        <w:t>84</w:t>
      </w:r>
      <w:r w:rsidR="008A18B8" w:rsidRPr="001C240A">
        <w:rPr>
          <w:rFonts w:eastAsia="Times New Roman"/>
          <w:bCs/>
        </w:rPr>
        <w:t>; 95% CI: 0.</w:t>
      </w:r>
      <w:r w:rsidR="00755339">
        <w:rPr>
          <w:rFonts w:eastAsia="Times New Roman"/>
          <w:bCs/>
        </w:rPr>
        <w:t>76</w:t>
      </w:r>
      <w:r w:rsidR="008A18B8" w:rsidRPr="001C240A">
        <w:rPr>
          <w:rFonts w:eastAsia="Times New Roman"/>
          <w:bCs/>
        </w:rPr>
        <w:t>-0.</w:t>
      </w:r>
      <w:r w:rsidR="00755339">
        <w:rPr>
          <w:rFonts w:eastAsia="Times New Roman"/>
          <w:bCs/>
        </w:rPr>
        <w:t>92</w:t>
      </w:r>
      <w:r w:rsidR="008A18B8" w:rsidRPr="001C240A">
        <w:rPr>
          <w:rFonts w:eastAsia="Times New Roman"/>
          <w:bCs/>
        </w:rPr>
        <w:t>)</w:t>
      </w:r>
      <w:r w:rsidR="00AD649C" w:rsidRPr="001C240A">
        <w:rPr>
          <w:rFonts w:eastAsia="Times New Roman"/>
          <w:bCs/>
        </w:rPr>
        <w:t xml:space="preserve"> (Table</w:t>
      </w:r>
      <w:r w:rsidR="007C5985">
        <w:rPr>
          <w:rFonts w:eastAsia="Times New Roman"/>
          <w:bCs/>
        </w:rPr>
        <w:t xml:space="preserve"> 2</w:t>
      </w:r>
      <w:r w:rsidR="00AD649C" w:rsidRPr="001C240A">
        <w:rPr>
          <w:rFonts w:eastAsia="Times New Roman"/>
          <w:bCs/>
        </w:rPr>
        <w:t>)</w:t>
      </w:r>
      <w:r w:rsidR="008A18B8" w:rsidRPr="001C240A">
        <w:rPr>
          <w:rFonts w:eastAsia="Times New Roman"/>
          <w:bCs/>
        </w:rPr>
        <w:t xml:space="preserve">. </w:t>
      </w:r>
      <w:r w:rsidR="009C6785">
        <w:rPr>
          <w:rFonts w:eastAsia="Times New Roman"/>
          <w:bCs/>
        </w:rPr>
        <w:t>T</w:t>
      </w:r>
      <w:r w:rsidR="009C6785" w:rsidRPr="001C240A">
        <w:rPr>
          <w:rFonts w:eastAsia="Times New Roman"/>
          <w:bCs/>
        </w:rPr>
        <w:t>he</w:t>
      </w:r>
      <w:r w:rsidR="009C6785">
        <w:rPr>
          <w:rFonts w:eastAsia="Times New Roman"/>
          <w:bCs/>
        </w:rPr>
        <w:t xml:space="preserve"> direct effect of </w:t>
      </w:r>
      <w:r w:rsidR="009C6785" w:rsidRPr="001C240A">
        <w:rPr>
          <w:rFonts w:eastAsia="Times New Roman"/>
          <w:bCs/>
        </w:rPr>
        <w:t>SGM identification on suicidal behaviors</w:t>
      </w:r>
      <w:r w:rsidR="009C6785">
        <w:rPr>
          <w:rFonts w:eastAsia="Times New Roman"/>
          <w:bCs/>
        </w:rPr>
        <w:t xml:space="preserve"> was significant</w:t>
      </w:r>
      <w:r w:rsidR="009C6785" w:rsidRPr="001C240A">
        <w:rPr>
          <w:rFonts w:eastAsia="Times New Roman"/>
          <w:bCs/>
        </w:rPr>
        <w:t xml:space="preserve"> </w:t>
      </w:r>
      <w:r w:rsidR="009C6785" w:rsidRPr="00AF12D7">
        <w:t>(OR=</w:t>
      </w:r>
      <w:r w:rsidR="009C6785" w:rsidRPr="00E678C2">
        <w:t>6.</w:t>
      </w:r>
      <w:r w:rsidR="009C6785">
        <w:t>02</w:t>
      </w:r>
      <w:r w:rsidR="009C6785" w:rsidRPr="00AF12D7">
        <w:t xml:space="preserve">; 95% CI: </w:t>
      </w:r>
      <w:r w:rsidR="009C6785">
        <w:t>3.90-</w:t>
      </w:r>
      <w:r w:rsidR="009C6785" w:rsidRPr="00E678C2">
        <w:t>9.</w:t>
      </w:r>
      <w:r w:rsidR="009C6785">
        <w:t>29</w:t>
      </w:r>
      <w:r w:rsidR="009C6785" w:rsidRPr="00AF12D7">
        <w:t>)</w:t>
      </w:r>
      <w:r w:rsidR="009C6785" w:rsidRPr="001C240A">
        <w:t>.</w:t>
      </w:r>
      <w:r w:rsidR="009C6785">
        <w:rPr>
          <w:rFonts w:eastAsia="Times New Roman"/>
          <w:bCs/>
        </w:rPr>
        <w:t xml:space="preserve"> </w:t>
      </w:r>
      <w:r w:rsidR="00ED7881">
        <w:rPr>
          <w:rFonts w:eastAsia="Times New Roman"/>
          <w:bCs/>
        </w:rPr>
        <w:t xml:space="preserve">The indirect effect </w:t>
      </w:r>
      <w:r w:rsidR="009C6785">
        <w:rPr>
          <w:rFonts w:eastAsia="Times New Roman"/>
          <w:bCs/>
        </w:rPr>
        <w:t xml:space="preserve">of SGM on lifetime suicidal behaviors was also significant, indicating </w:t>
      </w:r>
      <w:r w:rsidR="003E2FE9">
        <w:rPr>
          <w:rFonts w:eastAsia="Times New Roman"/>
          <w:bCs/>
        </w:rPr>
        <w:t>that</w:t>
      </w:r>
      <w:r w:rsidR="00ED7881">
        <w:rPr>
          <w:rFonts w:eastAsia="Times New Roman"/>
          <w:bCs/>
        </w:rPr>
        <w:t xml:space="preserve"> p</w:t>
      </w:r>
      <w:r w:rsidR="00755339">
        <w:rPr>
          <w:rFonts w:eastAsia="Times New Roman"/>
          <w:bCs/>
        </w:rPr>
        <w:t>arental</w:t>
      </w:r>
      <w:r w:rsidR="00755339" w:rsidRPr="001C240A">
        <w:rPr>
          <w:rFonts w:eastAsia="Times New Roman"/>
          <w:bCs/>
        </w:rPr>
        <w:t xml:space="preserve"> </w:t>
      </w:r>
      <w:r w:rsidR="00B57D29" w:rsidRPr="001C240A">
        <w:rPr>
          <w:rFonts w:eastAsia="Times New Roman"/>
          <w:bCs/>
        </w:rPr>
        <w:t xml:space="preserve">acceptance partially </w:t>
      </w:r>
      <w:r w:rsidR="009C6785" w:rsidRPr="001C240A">
        <w:rPr>
          <w:rFonts w:eastAsia="Times New Roman"/>
          <w:bCs/>
        </w:rPr>
        <w:t>mediate</w:t>
      </w:r>
      <w:r w:rsidR="009C6785">
        <w:rPr>
          <w:rFonts w:eastAsia="Times New Roman"/>
          <w:bCs/>
        </w:rPr>
        <w:t>d</w:t>
      </w:r>
      <w:r w:rsidR="009C6785" w:rsidRPr="001C240A">
        <w:rPr>
          <w:rFonts w:eastAsia="Times New Roman"/>
          <w:bCs/>
        </w:rPr>
        <w:t xml:space="preserve"> </w:t>
      </w:r>
      <w:r w:rsidR="0095454B" w:rsidRPr="001C240A">
        <w:rPr>
          <w:rFonts w:eastAsia="Times New Roman"/>
          <w:bCs/>
        </w:rPr>
        <w:t xml:space="preserve">the association between SGM status and lifetime </w:t>
      </w:r>
      <w:r w:rsidR="009C6785">
        <w:rPr>
          <w:rFonts w:eastAsia="Times New Roman"/>
          <w:bCs/>
        </w:rPr>
        <w:t>odds</w:t>
      </w:r>
      <w:r w:rsidR="009C6785" w:rsidRPr="001C240A">
        <w:rPr>
          <w:rFonts w:eastAsia="Times New Roman"/>
          <w:bCs/>
        </w:rPr>
        <w:t xml:space="preserve"> </w:t>
      </w:r>
      <w:r w:rsidR="0095454B" w:rsidRPr="001C240A">
        <w:rPr>
          <w:rFonts w:eastAsia="Times New Roman"/>
          <w:bCs/>
        </w:rPr>
        <w:t xml:space="preserve">of suicidal behaviors </w:t>
      </w:r>
      <w:r w:rsidR="0095454B" w:rsidRPr="001C240A">
        <w:t>(OR</w:t>
      </w:r>
      <w:r w:rsidR="00207BD0">
        <w:t xml:space="preserve"> </w:t>
      </w:r>
      <w:r w:rsidR="0095454B" w:rsidRPr="001C240A">
        <w:t>=</w:t>
      </w:r>
      <w:r w:rsidR="00207BD0">
        <w:t xml:space="preserve"> </w:t>
      </w:r>
      <w:r w:rsidR="0095454B" w:rsidRPr="001C240A">
        <w:t>1.</w:t>
      </w:r>
      <w:r w:rsidR="00755339">
        <w:t>09</w:t>
      </w:r>
      <w:r w:rsidR="0095454B" w:rsidRPr="001C240A">
        <w:t>; 95% CI: 1.0</w:t>
      </w:r>
      <w:r w:rsidR="00755339">
        <w:t>4</w:t>
      </w:r>
      <w:r w:rsidR="0095454B" w:rsidRPr="001C240A">
        <w:t>-1.</w:t>
      </w:r>
      <w:r w:rsidR="00755339">
        <w:t>15</w:t>
      </w:r>
      <w:r w:rsidR="0095454B" w:rsidRPr="001C240A">
        <w:t>)</w:t>
      </w:r>
      <w:r w:rsidR="0095454B" w:rsidRPr="001C240A">
        <w:rPr>
          <w:rFonts w:eastAsia="Times New Roman"/>
          <w:bCs/>
        </w:rPr>
        <w:t xml:space="preserve">, </w:t>
      </w:r>
      <w:r w:rsidR="00C64E6B" w:rsidRPr="001C240A">
        <w:rPr>
          <w:bCs/>
        </w:rPr>
        <w:t xml:space="preserve">accounting for </w:t>
      </w:r>
      <w:r w:rsidR="00092D63">
        <w:rPr>
          <w:bCs/>
        </w:rPr>
        <w:t>4.79</w:t>
      </w:r>
      <w:r w:rsidR="00092D63" w:rsidRPr="008B18FB">
        <w:rPr>
          <w:rFonts w:eastAsia="Times New Roman"/>
          <w:bCs/>
        </w:rPr>
        <w:t>%</w:t>
      </w:r>
      <w:r w:rsidR="00092D63">
        <w:rPr>
          <w:rFonts w:eastAsia="Times New Roman"/>
          <w:bCs/>
        </w:rPr>
        <w:t xml:space="preserve"> </w:t>
      </w:r>
      <w:r w:rsidR="00C64E6B" w:rsidRPr="001C240A">
        <w:rPr>
          <w:bCs/>
        </w:rPr>
        <w:t xml:space="preserve">of the total effect </w:t>
      </w:r>
      <w:r w:rsidR="0010262E">
        <w:t>(F</w:t>
      </w:r>
      <w:r w:rsidR="008A18B8" w:rsidRPr="001C240A">
        <w:t>igure</w:t>
      </w:r>
      <w:r w:rsidR="00BC663B">
        <w:t xml:space="preserve"> 1</w:t>
      </w:r>
      <w:r w:rsidR="008A18B8" w:rsidRPr="001C240A">
        <w:t xml:space="preserve">). </w:t>
      </w:r>
    </w:p>
    <w:p w14:paraId="4016FDE5" w14:textId="47C2BC30" w:rsidR="0095454B" w:rsidRPr="001C240A" w:rsidRDefault="0095454B" w:rsidP="00D33A80">
      <w:pPr>
        <w:pStyle w:val="Default"/>
        <w:spacing w:line="480" w:lineRule="auto"/>
        <w:rPr>
          <w:rFonts w:eastAsia="Times New Roman"/>
          <w:bCs/>
        </w:rPr>
      </w:pPr>
    </w:p>
    <w:p w14:paraId="6E2B854D" w14:textId="4BB383CE" w:rsidR="00400DDB" w:rsidRPr="001C240A" w:rsidRDefault="008058AF" w:rsidP="002C5232">
      <w:pPr>
        <w:spacing w:line="480" w:lineRule="auto"/>
        <w:rPr>
          <w:bCs/>
        </w:rPr>
      </w:pPr>
      <w:r w:rsidRPr="00F6365C">
        <w:rPr>
          <w:bCs/>
        </w:rPr>
        <w:t>SGM</w:t>
      </w:r>
      <w:r w:rsidR="00C02D63" w:rsidRPr="00F6365C">
        <w:rPr>
          <w:bCs/>
        </w:rPr>
        <w:t xml:space="preserve"> identification</w:t>
      </w:r>
      <w:r w:rsidRPr="00F6365C">
        <w:rPr>
          <w:bCs/>
        </w:rPr>
        <w:t xml:space="preserve"> </w:t>
      </w:r>
      <w:r w:rsidR="0095454B" w:rsidRPr="00F6365C">
        <w:rPr>
          <w:bCs/>
        </w:rPr>
        <w:t xml:space="preserve">was </w:t>
      </w:r>
      <w:r w:rsidR="00755339">
        <w:rPr>
          <w:bCs/>
        </w:rPr>
        <w:t>positively</w:t>
      </w:r>
      <w:r w:rsidR="0095454B" w:rsidRPr="00F6365C">
        <w:rPr>
          <w:bCs/>
        </w:rPr>
        <w:t xml:space="preserve"> associated with </w:t>
      </w:r>
      <w:r w:rsidRPr="00F6365C">
        <w:rPr>
          <w:bCs/>
        </w:rPr>
        <w:t>family conflict (OR</w:t>
      </w:r>
      <w:r w:rsidR="00207BD0" w:rsidRPr="00F6365C">
        <w:rPr>
          <w:bCs/>
        </w:rPr>
        <w:t xml:space="preserve"> </w:t>
      </w:r>
      <w:r w:rsidRPr="00F6365C">
        <w:rPr>
          <w:bCs/>
        </w:rPr>
        <w:t>=</w:t>
      </w:r>
      <w:r w:rsidR="00207BD0" w:rsidRPr="00F6365C">
        <w:rPr>
          <w:bCs/>
        </w:rPr>
        <w:t xml:space="preserve"> </w:t>
      </w:r>
      <w:r w:rsidR="00755339">
        <w:rPr>
          <w:bCs/>
        </w:rPr>
        <w:t>1.47</w:t>
      </w:r>
      <w:r w:rsidRPr="00F6365C">
        <w:rPr>
          <w:bCs/>
        </w:rPr>
        <w:t xml:space="preserve">; 95% CI: </w:t>
      </w:r>
      <w:r w:rsidR="00755339">
        <w:rPr>
          <w:bCs/>
        </w:rPr>
        <w:t>1.23</w:t>
      </w:r>
      <w:r w:rsidRPr="00F6365C">
        <w:rPr>
          <w:bCs/>
        </w:rPr>
        <w:t>-1.</w:t>
      </w:r>
      <w:r w:rsidR="00755339">
        <w:rPr>
          <w:bCs/>
        </w:rPr>
        <w:t>7</w:t>
      </w:r>
      <w:r w:rsidRPr="00F6365C">
        <w:rPr>
          <w:bCs/>
        </w:rPr>
        <w:t>6)</w:t>
      </w:r>
      <w:r w:rsidR="0095454B" w:rsidRPr="00F6365C">
        <w:rPr>
          <w:bCs/>
        </w:rPr>
        <w:t>,</w:t>
      </w:r>
      <w:r w:rsidR="00A9548F">
        <w:rPr>
          <w:bCs/>
        </w:rPr>
        <w:t xml:space="preserve"> such that </w:t>
      </w:r>
      <w:r w:rsidR="00A9548F">
        <w:t xml:space="preserve">those with SGM identities reported 47% </w:t>
      </w:r>
      <w:r w:rsidR="00A9548F" w:rsidRPr="00C72944">
        <w:t>more family conflict</w:t>
      </w:r>
      <w:r w:rsidR="00A9548F">
        <w:t xml:space="preserve"> than non-SGM peers. </w:t>
      </w:r>
      <w:r w:rsidR="00A9548F">
        <w:rPr>
          <w:bCs/>
        </w:rPr>
        <w:t>G</w:t>
      </w:r>
      <w:r w:rsidR="00755339">
        <w:rPr>
          <w:bCs/>
        </w:rPr>
        <w:t>reater</w:t>
      </w:r>
      <w:r w:rsidR="00755339" w:rsidRPr="00F6365C">
        <w:rPr>
          <w:bCs/>
        </w:rPr>
        <w:t xml:space="preserve"> </w:t>
      </w:r>
      <w:r w:rsidR="00C02D63" w:rsidRPr="00F6365C">
        <w:rPr>
          <w:bCs/>
        </w:rPr>
        <w:t>f</w:t>
      </w:r>
      <w:r w:rsidRPr="00F6365C">
        <w:rPr>
          <w:bCs/>
        </w:rPr>
        <w:t xml:space="preserve">amily conflict was associated with </w:t>
      </w:r>
      <w:r w:rsidR="00EE3152" w:rsidRPr="00F6365C">
        <w:rPr>
          <w:bCs/>
        </w:rPr>
        <w:t xml:space="preserve">greater odds </w:t>
      </w:r>
      <w:r w:rsidRPr="00F6365C">
        <w:rPr>
          <w:bCs/>
        </w:rPr>
        <w:t>of lifetime suicidal behaviors (OR</w:t>
      </w:r>
      <w:r w:rsidR="00207BD0" w:rsidRPr="00F6365C">
        <w:rPr>
          <w:bCs/>
        </w:rPr>
        <w:t xml:space="preserve"> </w:t>
      </w:r>
      <w:r w:rsidRPr="00F6365C">
        <w:rPr>
          <w:bCs/>
        </w:rPr>
        <w:t>=</w:t>
      </w:r>
      <w:r w:rsidR="00207BD0" w:rsidRPr="00F6365C">
        <w:rPr>
          <w:bCs/>
        </w:rPr>
        <w:t xml:space="preserve"> </w:t>
      </w:r>
      <w:r w:rsidRPr="00F6365C">
        <w:rPr>
          <w:bCs/>
        </w:rPr>
        <w:t>1.2</w:t>
      </w:r>
      <w:r w:rsidR="00755339">
        <w:rPr>
          <w:bCs/>
        </w:rPr>
        <w:t>7</w:t>
      </w:r>
      <w:r w:rsidRPr="00F6365C">
        <w:rPr>
          <w:bCs/>
        </w:rPr>
        <w:t>; 95% CI: 1.1</w:t>
      </w:r>
      <w:r w:rsidR="00755339">
        <w:rPr>
          <w:bCs/>
        </w:rPr>
        <w:t>8</w:t>
      </w:r>
      <w:r w:rsidRPr="00F6365C">
        <w:rPr>
          <w:bCs/>
        </w:rPr>
        <w:t>-1.3</w:t>
      </w:r>
      <w:r w:rsidR="00755339">
        <w:rPr>
          <w:bCs/>
        </w:rPr>
        <w:t>7</w:t>
      </w:r>
      <w:r w:rsidRPr="00F6365C">
        <w:rPr>
          <w:bCs/>
        </w:rPr>
        <w:t xml:space="preserve">). </w:t>
      </w:r>
      <w:r w:rsidR="00A101C4">
        <w:rPr>
          <w:bCs/>
        </w:rPr>
        <w:t xml:space="preserve">The indirect effect </w:t>
      </w:r>
      <w:r w:rsidR="009C6785">
        <w:rPr>
          <w:bCs/>
        </w:rPr>
        <w:t xml:space="preserve">was significant, indicating mediation of </w:t>
      </w:r>
      <w:r w:rsidR="00A101C4">
        <w:rPr>
          <w:bCs/>
        </w:rPr>
        <w:t xml:space="preserve">family conflict </w:t>
      </w:r>
      <w:r w:rsidR="009C6785">
        <w:rPr>
          <w:bCs/>
        </w:rPr>
        <w:t>in</w:t>
      </w:r>
      <w:r w:rsidR="00A101C4">
        <w:rPr>
          <w:bCs/>
        </w:rPr>
        <w:t xml:space="preserve"> the association between </w:t>
      </w:r>
      <w:r w:rsidR="00A101C4" w:rsidRPr="001C240A">
        <w:rPr>
          <w:bCs/>
        </w:rPr>
        <w:t xml:space="preserve">SGM status and lifetime </w:t>
      </w:r>
      <w:r w:rsidR="009C6785">
        <w:rPr>
          <w:bCs/>
        </w:rPr>
        <w:t>odds</w:t>
      </w:r>
      <w:r w:rsidR="009C6785" w:rsidRPr="001C240A">
        <w:rPr>
          <w:bCs/>
        </w:rPr>
        <w:t xml:space="preserve"> </w:t>
      </w:r>
      <w:r w:rsidR="00A101C4" w:rsidRPr="001C240A">
        <w:rPr>
          <w:bCs/>
        </w:rPr>
        <w:t xml:space="preserve">of suicidal behaviors </w:t>
      </w:r>
      <w:r w:rsidR="00A101C4" w:rsidRPr="001C240A">
        <w:t>(OR</w:t>
      </w:r>
      <w:r w:rsidR="00A101C4">
        <w:t xml:space="preserve"> </w:t>
      </w:r>
      <w:r w:rsidR="00A101C4" w:rsidRPr="001C240A">
        <w:t>=</w:t>
      </w:r>
      <w:r w:rsidR="00A101C4">
        <w:t xml:space="preserve"> </w:t>
      </w:r>
      <w:r w:rsidR="00A101C4" w:rsidRPr="001C240A">
        <w:t>1.</w:t>
      </w:r>
      <w:r w:rsidR="00A101C4">
        <w:t>10</w:t>
      </w:r>
      <w:r w:rsidR="00A101C4" w:rsidRPr="001C240A">
        <w:t>; 95% CI: 1.0</w:t>
      </w:r>
      <w:r w:rsidR="00A101C4">
        <w:t>4</w:t>
      </w:r>
      <w:r w:rsidR="00A101C4" w:rsidRPr="001C240A">
        <w:t>-1.</w:t>
      </w:r>
      <w:r w:rsidR="00A101C4">
        <w:t>15</w:t>
      </w:r>
      <w:r w:rsidR="00A101C4" w:rsidRPr="001C240A">
        <w:t>)</w:t>
      </w:r>
      <w:r w:rsidR="00A101C4" w:rsidRPr="001C240A">
        <w:rPr>
          <w:bCs/>
        </w:rPr>
        <w:t xml:space="preserve">, accounting for </w:t>
      </w:r>
      <w:r w:rsidR="00092D63">
        <w:rPr>
          <w:bCs/>
        </w:rPr>
        <w:t>4.76</w:t>
      </w:r>
      <w:r w:rsidR="00092D63" w:rsidRPr="008B18FB">
        <w:rPr>
          <w:bCs/>
        </w:rPr>
        <w:t>%</w:t>
      </w:r>
      <w:r w:rsidR="008B18FB" w:rsidRPr="001C240A">
        <w:rPr>
          <w:bCs/>
        </w:rPr>
        <w:t xml:space="preserve"> </w:t>
      </w:r>
      <w:r w:rsidR="00A101C4" w:rsidRPr="001C240A">
        <w:rPr>
          <w:bCs/>
        </w:rPr>
        <w:t xml:space="preserve">of the total effect </w:t>
      </w:r>
      <w:r w:rsidR="00A101C4">
        <w:t>(F</w:t>
      </w:r>
      <w:r w:rsidR="00A101C4" w:rsidRPr="001C240A">
        <w:t>igure).</w:t>
      </w:r>
    </w:p>
    <w:p w14:paraId="362D442A" w14:textId="77777777" w:rsidR="00C02D63" w:rsidRPr="001C240A" w:rsidRDefault="00C02D63" w:rsidP="002C5232">
      <w:pPr>
        <w:spacing w:line="480" w:lineRule="auto"/>
        <w:rPr>
          <w:bCs/>
        </w:rPr>
      </w:pPr>
    </w:p>
    <w:p w14:paraId="345AC28B" w14:textId="63D6F6ED" w:rsidR="00983568" w:rsidRPr="001C240A" w:rsidRDefault="00983568" w:rsidP="00CF0116">
      <w:pPr>
        <w:rPr>
          <w:b/>
          <w:bCs/>
          <w:color w:val="212121"/>
          <w:shd w:val="clear" w:color="auto" w:fill="FFFFFF"/>
        </w:rPr>
      </w:pPr>
      <w:r w:rsidRPr="001C240A">
        <w:rPr>
          <w:b/>
          <w:bCs/>
          <w:color w:val="212121"/>
          <w:shd w:val="clear" w:color="auto" w:fill="FFFFFF"/>
        </w:rPr>
        <w:t>Discussion</w:t>
      </w:r>
    </w:p>
    <w:p w14:paraId="36D4E991" w14:textId="77777777" w:rsidR="00362B07" w:rsidRPr="001C240A" w:rsidRDefault="00362B07" w:rsidP="00CF0116">
      <w:pPr>
        <w:rPr>
          <w:bCs/>
          <w:color w:val="212121"/>
          <w:shd w:val="clear" w:color="auto" w:fill="FFFFFF"/>
        </w:rPr>
      </w:pPr>
    </w:p>
    <w:p w14:paraId="1D6B5266" w14:textId="489CBD8D" w:rsidR="00D6164F" w:rsidRDefault="0095454B" w:rsidP="00A22C02">
      <w:pPr>
        <w:spacing w:line="480" w:lineRule="auto"/>
      </w:pPr>
      <w:r w:rsidRPr="001C240A">
        <w:t>The current findings</w:t>
      </w:r>
      <w:r w:rsidR="00362B07" w:rsidRPr="001C240A">
        <w:t xml:space="preserve"> </w:t>
      </w:r>
      <w:r w:rsidR="00A9548F">
        <w:t xml:space="preserve">demonstrate that youths with SGM identities report 40% less parental acceptance and 47% greater family conflict, compared to non-SGM peers. Further, results </w:t>
      </w:r>
      <w:r w:rsidR="00A22C02" w:rsidRPr="001C240A">
        <w:t xml:space="preserve">indicate </w:t>
      </w:r>
      <w:r w:rsidRPr="001C240A">
        <w:t xml:space="preserve">that the association between SGM identification and risk for suicidal behaviors is </w:t>
      </w:r>
      <w:r w:rsidRPr="001C240A">
        <w:lastRenderedPageBreak/>
        <w:t xml:space="preserve">partially accounted for by lower </w:t>
      </w:r>
      <w:r w:rsidR="008701C9">
        <w:rPr>
          <w:bCs/>
        </w:rPr>
        <w:t>parental</w:t>
      </w:r>
      <w:r w:rsidR="008701C9" w:rsidRPr="001C240A">
        <w:rPr>
          <w:bCs/>
        </w:rPr>
        <w:t xml:space="preserve"> </w:t>
      </w:r>
      <w:r w:rsidRPr="001C240A">
        <w:t>acceptance</w:t>
      </w:r>
      <w:r w:rsidR="00A101C4">
        <w:t xml:space="preserve"> and higher family conflict</w:t>
      </w:r>
      <w:r w:rsidRPr="001C240A">
        <w:t xml:space="preserve">. </w:t>
      </w:r>
      <w:r w:rsidR="00A22C02" w:rsidRPr="001C240A">
        <w:t>This study supports prior research suggesting</w:t>
      </w:r>
      <w:r w:rsidR="007269F4" w:rsidRPr="001C240A">
        <w:t xml:space="preserve"> that </w:t>
      </w:r>
      <w:r w:rsidR="0030194E" w:rsidRPr="001C240A">
        <w:t xml:space="preserve">interpersonal, </w:t>
      </w:r>
      <w:r w:rsidR="007269F4" w:rsidRPr="001C240A">
        <w:t>structural, and individual level factors contribute to mino</w:t>
      </w:r>
      <w:r w:rsidR="00A22C02" w:rsidRPr="001C240A">
        <w:t xml:space="preserve">rity stress and </w:t>
      </w:r>
      <w:r w:rsidRPr="001C240A">
        <w:t xml:space="preserve">subsequent </w:t>
      </w:r>
      <w:r w:rsidR="00A22C02" w:rsidRPr="001C240A">
        <w:t>adverse outcomes</w:t>
      </w:r>
      <w:r w:rsidR="00B65B4E">
        <w:t xml:space="preserve"> (</w:t>
      </w:r>
      <w:proofErr w:type="spellStart"/>
      <w:r w:rsidR="00B65B4E" w:rsidRPr="001C240A">
        <w:rPr>
          <w:rFonts w:eastAsiaTheme="minorHAnsi"/>
        </w:rPr>
        <w:t>Hatzenbuehler</w:t>
      </w:r>
      <w:proofErr w:type="spellEnd"/>
      <w:r w:rsidR="00B65B4E" w:rsidRPr="001C240A">
        <w:rPr>
          <w:rFonts w:eastAsiaTheme="minorHAnsi"/>
        </w:rPr>
        <w:t xml:space="preserve">, </w:t>
      </w:r>
      <w:r w:rsidR="00B65B4E">
        <w:rPr>
          <w:rFonts w:eastAsiaTheme="minorHAnsi"/>
        </w:rPr>
        <w:t xml:space="preserve">&amp; </w:t>
      </w:r>
      <w:proofErr w:type="spellStart"/>
      <w:r w:rsidR="00B65B4E" w:rsidRPr="001C240A">
        <w:rPr>
          <w:rFonts w:eastAsiaTheme="minorHAnsi"/>
        </w:rPr>
        <w:t>Pachankis</w:t>
      </w:r>
      <w:proofErr w:type="spellEnd"/>
      <w:r w:rsidR="00B65B4E">
        <w:rPr>
          <w:rFonts w:eastAsiaTheme="minorHAnsi"/>
        </w:rPr>
        <w:t>, 2016)</w:t>
      </w:r>
      <w:r w:rsidR="00901B28">
        <w:t>. Results also demonstrate that prior findings regarding family dynamics and interpersonal interactions</w:t>
      </w:r>
      <w:r w:rsidR="00B65B4E">
        <w:t xml:space="preserve"> (</w:t>
      </w:r>
      <w:proofErr w:type="spellStart"/>
      <w:r w:rsidR="00B65B4E" w:rsidRPr="001C240A">
        <w:rPr>
          <w:rFonts w:eastAsiaTheme="minorHAnsi"/>
        </w:rPr>
        <w:t>Hatzenbuehler</w:t>
      </w:r>
      <w:proofErr w:type="spellEnd"/>
      <w:r w:rsidR="00B65B4E" w:rsidRPr="001C240A">
        <w:rPr>
          <w:rFonts w:eastAsiaTheme="minorHAnsi"/>
        </w:rPr>
        <w:t xml:space="preserve">, </w:t>
      </w:r>
      <w:r w:rsidR="00B65B4E">
        <w:rPr>
          <w:rFonts w:eastAsiaTheme="minorHAnsi"/>
        </w:rPr>
        <w:t xml:space="preserve">&amp; </w:t>
      </w:r>
      <w:proofErr w:type="spellStart"/>
      <w:r w:rsidR="00B65B4E" w:rsidRPr="001C240A">
        <w:rPr>
          <w:rFonts w:eastAsiaTheme="minorHAnsi"/>
        </w:rPr>
        <w:t>Pachankis</w:t>
      </w:r>
      <w:proofErr w:type="spellEnd"/>
      <w:r w:rsidR="00B65B4E">
        <w:rPr>
          <w:rFonts w:eastAsiaTheme="minorHAnsi"/>
        </w:rPr>
        <w:t xml:space="preserve">, 2016; </w:t>
      </w:r>
      <w:r w:rsidR="00B65B4E" w:rsidRPr="00937592">
        <w:rPr>
          <w:rFonts w:eastAsiaTheme="minorHAnsi"/>
        </w:rPr>
        <w:t>Mills-</w:t>
      </w:r>
      <w:proofErr w:type="spellStart"/>
      <w:r w:rsidR="00B65B4E" w:rsidRPr="00937592">
        <w:rPr>
          <w:rFonts w:eastAsiaTheme="minorHAnsi"/>
        </w:rPr>
        <w:t>Koonce</w:t>
      </w:r>
      <w:proofErr w:type="spellEnd"/>
      <w:r w:rsidR="00FF7C66">
        <w:rPr>
          <w:rFonts w:eastAsiaTheme="minorHAnsi"/>
        </w:rPr>
        <w:t xml:space="preserve">, </w:t>
      </w:r>
      <w:proofErr w:type="spellStart"/>
      <w:r w:rsidR="00FF7C66">
        <w:rPr>
          <w:rFonts w:eastAsiaTheme="minorHAnsi"/>
        </w:rPr>
        <w:t>Rehder</w:t>
      </w:r>
      <w:proofErr w:type="spellEnd"/>
      <w:r w:rsidR="00FF7C66">
        <w:rPr>
          <w:rFonts w:eastAsiaTheme="minorHAnsi"/>
        </w:rPr>
        <w:t>, &amp; McCurdy</w:t>
      </w:r>
      <w:r w:rsidR="00B65B4E">
        <w:rPr>
          <w:rFonts w:eastAsiaTheme="minorHAnsi"/>
        </w:rPr>
        <w:t xml:space="preserve">, 2018; </w:t>
      </w:r>
      <w:r w:rsidR="00B65B4E" w:rsidRPr="001C240A">
        <w:rPr>
          <w:rFonts w:eastAsiaTheme="minorHAnsi"/>
        </w:rPr>
        <w:t xml:space="preserve">Katz-Wise, Rosario </w:t>
      </w:r>
      <w:r w:rsidR="00B65B4E">
        <w:rPr>
          <w:rFonts w:eastAsiaTheme="minorHAnsi"/>
        </w:rPr>
        <w:t xml:space="preserve">&amp; </w:t>
      </w:r>
      <w:proofErr w:type="spellStart"/>
      <w:r w:rsidR="00B65B4E" w:rsidRPr="001C240A">
        <w:rPr>
          <w:rFonts w:eastAsiaTheme="minorHAnsi"/>
        </w:rPr>
        <w:t>Tsappis</w:t>
      </w:r>
      <w:proofErr w:type="spellEnd"/>
      <w:r w:rsidR="00FF7C66">
        <w:rPr>
          <w:rFonts w:eastAsiaTheme="minorHAnsi"/>
        </w:rPr>
        <w:t xml:space="preserve">, </w:t>
      </w:r>
      <w:r w:rsidR="00B65B4E">
        <w:rPr>
          <w:rFonts w:eastAsiaTheme="minorHAnsi"/>
        </w:rPr>
        <w:t>2016)</w:t>
      </w:r>
      <w:r w:rsidR="00901B28">
        <w:t xml:space="preserve"> may generalize to younger adolescents</w:t>
      </w:r>
      <w:r w:rsidR="007269F4" w:rsidRPr="001C240A">
        <w:t>.</w:t>
      </w:r>
      <w:r w:rsidR="00810035">
        <w:t xml:space="preserve"> </w:t>
      </w:r>
    </w:p>
    <w:p w14:paraId="1E788178" w14:textId="03B06182" w:rsidR="00D6164F" w:rsidRDefault="00D6164F" w:rsidP="00A22C02">
      <w:pPr>
        <w:spacing w:line="480" w:lineRule="auto"/>
      </w:pPr>
    </w:p>
    <w:p w14:paraId="209975BF" w14:textId="505B4653" w:rsidR="00C55553" w:rsidRPr="00C55553" w:rsidRDefault="00C55553" w:rsidP="00A22C02">
      <w:pPr>
        <w:spacing w:line="480" w:lineRule="auto"/>
        <w:rPr>
          <w:i/>
          <w:iCs/>
        </w:rPr>
      </w:pPr>
      <w:r w:rsidRPr="00C55553">
        <w:rPr>
          <w:i/>
          <w:iCs/>
        </w:rPr>
        <w:t>Strengths and Limitations</w:t>
      </w:r>
    </w:p>
    <w:p w14:paraId="4E562B5D" w14:textId="2C58B292" w:rsidR="00983568" w:rsidRDefault="00A22C02" w:rsidP="00A22C02">
      <w:pPr>
        <w:spacing w:line="480" w:lineRule="auto"/>
        <w:rPr>
          <w:vertAlign w:val="superscript"/>
        </w:rPr>
      </w:pPr>
      <w:r w:rsidRPr="001C240A">
        <w:t xml:space="preserve">Strengths of this study include a robust and diverse </w:t>
      </w:r>
      <w:r w:rsidR="00163906" w:rsidRPr="001C240A">
        <w:t xml:space="preserve">sample </w:t>
      </w:r>
      <w:r w:rsidRPr="001C240A">
        <w:t xml:space="preserve">of youth and </w:t>
      </w:r>
      <w:r w:rsidR="00163906" w:rsidRPr="001C240A">
        <w:t>validated</w:t>
      </w:r>
      <w:r w:rsidRPr="001C240A">
        <w:t xml:space="preserve"> study</w:t>
      </w:r>
      <w:r w:rsidR="00163906" w:rsidRPr="001C240A">
        <w:t xml:space="preserve"> measures</w:t>
      </w:r>
      <w:r w:rsidRPr="001C240A">
        <w:t xml:space="preserve">. </w:t>
      </w:r>
      <w:r w:rsidR="003E2FE9">
        <w:t>Limitations include the fact that, g</w:t>
      </w:r>
      <w:r w:rsidR="0053774E">
        <w:t>iven the small proportion of youths identifyi</w:t>
      </w:r>
      <w:r w:rsidR="00D1533B">
        <w:t>ng as transgender</w:t>
      </w:r>
      <w:r w:rsidR="0053774E">
        <w:t>, current analyses combined</w:t>
      </w:r>
      <w:r w:rsidR="0095454B" w:rsidRPr="001C240A">
        <w:t xml:space="preserve"> </w:t>
      </w:r>
      <w:r w:rsidR="00D1533B">
        <w:t>sexual minority and gender minority youths</w:t>
      </w:r>
      <w:r w:rsidR="0053774E">
        <w:t>. Future research should examine these groups separately as</w:t>
      </w:r>
      <w:r w:rsidR="00D6153E" w:rsidRPr="001C240A">
        <w:t xml:space="preserve"> experiences</w:t>
      </w:r>
      <w:r w:rsidR="0053774E">
        <w:t xml:space="preserve"> and risk and protective factors </w:t>
      </w:r>
      <w:r w:rsidR="0051571C">
        <w:t>may</w:t>
      </w:r>
      <w:r w:rsidR="00D1533B">
        <w:t xml:space="preserve"> vary by subgroup</w:t>
      </w:r>
      <w:r w:rsidR="0053774E">
        <w:t>. An additional limitation is the</w:t>
      </w:r>
      <w:r w:rsidR="0095454B" w:rsidRPr="001C240A">
        <w:t xml:space="preserve"> </w:t>
      </w:r>
      <w:r w:rsidRPr="001C240A">
        <w:t>use of general</w:t>
      </w:r>
      <w:r w:rsidR="008C0B2D" w:rsidRPr="001C240A">
        <w:t xml:space="preserve"> (</w:t>
      </w:r>
      <w:r w:rsidR="0053774E">
        <w:t xml:space="preserve">i.e., </w:t>
      </w:r>
      <w:r w:rsidR="008C0B2D" w:rsidRPr="001C240A">
        <w:t>non-SGM-specific)</w:t>
      </w:r>
      <w:r w:rsidRPr="001C240A">
        <w:t xml:space="preserve"> measures of </w:t>
      </w:r>
      <w:r w:rsidR="00240A4A" w:rsidRPr="001C240A">
        <w:t>parental acceptance</w:t>
      </w:r>
      <w:r w:rsidR="0053774E">
        <w:t xml:space="preserve"> and family conflict, which may not accurately capture family dynamics that are specific to, or resulting from, the child’s SGM identity</w:t>
      </w:r>
      <w:r w:rsidR="00240A4A" w:rsidRPr="001C240A">
        <w:t>.</w:t>
      </w:r>
      <w:r w:rsidR="00D1533B">
        <w:t xml:space="preserve"> </w:t>
      </w:r>
      <w:r w:rsidR="007A7AF1">
        <w:t xml:space="preserve">As terminology evolves, some participants may not identify with </w:t>
      </w:r>
      <w:r w:rsidR="0053774E">
        <w:t xml:space="preserve">narrow </w:t>
      </w:r>
      <w:r w:rsidR="007A7AF1">
        <w:t xml:space="preserve">study descriptors such as </w:t>
      </w:r>
      <w:r w:rsidR="007A7AF1" w:rsidRPr="007A7AF1">
        <w:rPr>
          <w:i/>
          <w:iCs/>
        </w:rPr>
        <w:t>gay</w:t>
      </w:r>
      <w:r w:rsidR="007A7AF1">
        <w:t xml:space="preserve"> or </w:t>
      </w:r>
      <w:r w:rsidR="007A7AF1" w:rsidRPr="007A7AF1">
        <w:rPr>
          <w:i/>
          <w:iCs/>
        </w:rPr>
        <w:t>transgender</w:t>
      </w:r>
      <w:r w:rsidR="007A7AF1">
        <w:t xml:space="preserve">, leading to an underreporting of </w:t>
      </w:r>
      <w:r w:rsidR="0053774E">
        <w:t xml:space="preserve">other diverse or non-binary </w:t>
      </w:r>
      <w:r w:rsidR="007A7AF1">
        <w:t xml:space="preserve">SGM identities. </w:t>
      </w:r>
      <w:r w:rsidR="007560B5" w:rsidRPr="001C240A">
        <w:t xml:space="preserve">SGM identities </w:t>
      </w:r>
      <w:r w:rsidR="0053774E">
        <w:t xml:space="preserve">continue to </w:t>
      </w:r>
      <w:r w:rsidR="007560B5" w:rsidRPr="001C240A">
        <w:t>develop through adolescence</w:t>
      </w:r>
      <w:r w:rsidR="008C0B2D" w:rsidRPr="001C240A">
        <w:t xml:space="preserve">; therefore, </w:t>
      </w:r>
      <w:r w:rsidR="00153F73">
        <w:t xml:space="preserve">future </w:t>
      </w:r>
      <w:r w:rsidR="007A48D5" w:rsidRPr="001C240A">
        <w:t>longitudinal</w:t>
      </w:r>
      <w:r w:rsidR="00240A4A" w:rsidRPr="001C240A">
        <w:t xml:space="preserve"> analyses </w:t>
      </w:r>
      <w:r w:rsidR="00153F73">
        <w:t>should</w:t>
      </w:r>
      <w:r w:rsidR="00240A4A" w:rsidRPr="001C240A">
        <w:t xml:space="preserve"> </w:t>
      </w:r>
      <w:r w:rsidR="005247F5" w:rsidRPr="001C240A">
        <w:t>characterize temporal trend</w:t>
      </w:r>
      <w:r w:rsidR="00645403" w:rsidRPr="001C240A">
        <w:t>s</w:t>
      </w:r>
      <w:r w:rsidR="005247F5" w:rsidRPr="001C240A">
        <w:t xml:space="preserve"> between family </w:t>
      </w:r>
      <w:r w:rsidR="00D6153E" w:rsidRPr="001C240A">
        <w:t>dynamics</w:t>
      </w:r>
      <w:r w:rsidR="005247F5" w:rsidRPr="001C240A">
        <w:t xml:space="preserve"> and risk and protective factors</w:t>
      </w:r>
      <w:r w:rsidR="007560B5" w:rsidRPr="001C240A">
        <w:t xml:space="preserve">, and elucidate </w:t>
      </w:r>
      <w:r w:rsidR="0053774E">
        <w:t xml:space="preserve">potentially important </w:t>
      </w:r>
      <w:r w:rsidR="007560B5" w:rsidRPr="001C240A">
        <w:t>effects of intersectionality (e.g., race disparities) in this population</w:t>
      </w:r>
      <w:r w:rsidR="005247F5" w:rsidRPr="001C240A">
        <w:t xml:space="preserve">. </w:t>
      </w:r>
    </w:p>
    <w:p w14:paraId="10A0C9A7" w14:textId="77777777" w:rsidR="00DD5E8D" w:rsidRDefault="00DD5E8D" w:rsidP="00CF0116">
      <w:pPr>
        <w:rPr>
          <w:b/>
        </w:rPr>
      </w:pPr>
    </w:p>
    <w:p w14:paraId="655F5F66" w14:textId="7D8A6BDF" w:rsidR="002C0633" w:rsidRDefault="00DD5E8D" w:rsidP="00CF0116">
      <w:pPr>
        <w:rPr>
          <w:vertAlign w:val="superscript"/>
        </w:rPr>
      </w:pPr>
      <w:r w:rsidRPr="00D6164F">
        <w:rPr>
          <w:b/>
        </w:rPr>
        <w:t>Conclusion</w:t>
      </w:r>
      <w:r w:rsidR="005F109A">
        <w:rPr>
          <w:b/>
        </w:rPr>
        <w:t>s</w:t>
      </w:r>
    </w:p>
    <w:p w14:paraId="4AB75CD7" w14:textId="77777777" w:rsidR="00DD5E8D" w:rsidRDefault="00DD5E8D" w:rsidP="00CF0116">
      <w:pPr>
        <w:rPr>
          <w:bCs/>
          <w:color w:val="212121"/>
          <w:shd w:val="clear" w:color="auto" w:fill="FFFFFF"/>
        </w:rPr>
      </w:pPr>
    </w:p>
    <w:p w14:paraId="4E2D7BC6" w14:textId="2BDAA54D" w:rsidR="00DD5E8D" w:rsidRDefault="003E2FE9" w:rsidP="00DD5E8D">
      <w:pPr>
        <w:pStyle w:val="NoSpacing"/>
        <w:spacing w:line="480" w:lineRule="auto"/>
        <w:rPr>
          <w:b/>
        </w:rPr>
      </w:pPr>
      <w:r>
        <w:lastRenderedPageBreak/>
        <w:t xml:space="preserve">The current study found that both parental acceptance and family conflict significantly mediated the associations between SGM identification and </w:t>
      </w:r>
      <w:r w:rsidR="009C6785">
        <w:t xml:space="preserve">odds of </w:t>
      </w:r>
      <w:r>
        <w:t xml:space="preserve">suicidal behaviors in a large sample of youth. Identification of modifiable risk factors for suicidality in this vulnerable population is critical to improving outcomes. </w:t>
      </w:r>
      <w:r w:rsidR="00D6164F" w:rsidRPr="001C240A">
        <w:t>Clinicians should work with SGM youth</w:t>
      </w:r>
      <w:r w:rsidR="009C6785">
        <w:t>s</w:t>
      </w:r>
      <w:r w:rsidR="00D6164F" w:rsidRPr="001C240A">
        <w:t xml:space="preserve"> and their families starting in childhood to optimize family dynamics and bolster acceptance to potentially reduce adverse health outcomes</w:t>
      </w:r>
      <w:r w:rsidR="00B65B4E">
        <w:t xml:space="preserve"> (</w:t>
      </w:r>
      <w:r w:rsidR="00B65B4E" w:rsidRPr="00937592">
        <w:rPr>
          <w:rFonts w:eastAsiaTheme="minorHAnsi"/>
        </w:rPr>
        <w:t>Mills-</w:t>
      </w:r>
      <w:proofErr w:type="spellStart"/>
      <w:r w:rsidR="00B65B4E" w:rsidRPr="00937592">
        <w:rPr>
          <w:rFonts w:eastAsiaTheme="minorHAnsi"/>
        </w:rPr>
        <w:t>Koonce</w:t>
      </w:r>
      <w:proofErr w:type="spellEnd"/>
      <w:r w:rsidR="00FF7C66">
        <w:rPr>
          <w:rFonts w:eastAsiaTheme="minorHAnsi"/>
        </w:rPr>
        <w:t xml:space="preserve">, </w:t>
      </w:r>
      <w:proofErr w:type="spellStart"/>
      <w:r w:rsidR="00FF7C66">
        <w:rPr>
          <w:rFonts w:eastAsiaTheme="minorHAnsi"/>
        </w:rPr>
        <w:t>Rehder</w:t>
      </w:r>
      <w:proofErr w:type="spellEnd"/>
      <w:r w:rsidR="00FF7C66">
        <w:rPr>
          <w:rFonts w:eastAsiaTheme="minorHAnsi"/>
        </w:rPr>
        <w:t>, &amp; McCurdy, 2018</w:t>
      </w:r>
      <w:r w:rsidR="00B65B4E">
        <w:rPr>
          <w:rFonts w:eastAsiaTheme="minorHAnsi"/>
        </w:rPr>
        <w:t xml:space="preserve">; </w:t>
      </w:r>
      <w:r w:rsidR="00B65B4E" w:rsidRPr="001C240A">
        <w:rPr>
          <w:rFonts w:eastAsiaTheme="minorHAnsi"/>
        </w:rPr>
        <w:t>Olson</w:t>
      </w:r>
      <w:r w:rsidR="00B65B4E">
        <w:rPr>
          <w:rFonts w:eastAsiaTheme="minorHAnsi"/>
        </w:rPr>
        <w:t>,</w:t>
      </w:r>
      <w:r w:rsidR="00FF7C66">
        <w:rPr>
          <w:rFonts w:eastAsiaTheme="minorHAnsi"/>
        </w:rPr>
        <w:t xml:space="preserve"> </w:t>
      </w:r>
      <w:proofErr w:type="spellStart"/>
      <w:r w:rsidR="00B65B4E" w:rsidRPr="001C240A">
        <w:rPr>
          <w:rFonts w:eastAsiaTheme="minorHAnsi"/>
        </w:rPr>
        <w:t>Durwood</w:t>
      </w:r>
      <w:proofErr w:type="spellEnd"/>
      <w:r w:rsidR="00B65B4E">
        <w:rPr>
          <w:rFonts w:eastAsiaTheme="minorHAnsi"/>
        </w:rPr>
        <w:t>,</w:t>
      </w:r>
      <w:r w:rsidR="00FF7C66">
        <w:rPr>
          <w:rFonts w:eastAsiaTheme="minorHAnsi"/>
        </w:rPr>
        <w:t xml:space="preserve"> </w:t>
      </w:r>
      <w:proofErr w:type="spellStart"/>
      <w:r w:rsidR="00B65B4E" w:rsidRPr="001C240A">
        <w:rPr>
          <w:rFonts w:eastAsiaTheme="minorHAnsi"/>
        </w:rPr>
        <w:t>DeMeules</w:t>
      </w:r>
      <w:proofErr w:type="spellEnd"/>
      <w:r w:rsidR="00FF7C66">
        <w:rPr>
          <w:rFonts w:eastAsiaTheme="minorHAnsi"/>
        </w:rPr>
        <w:t>,</w:t>
      </w:r>
      <w:r w:rsidR="00B65B4E" w:rsidRPr="001C240A">
        <w:rPr>
          <w:rFonts w:eastAsiaTheme="minorHAnsi"/>
        </w:rPr>
        <w:t xml:space="preserve"> </w:t>
      </w:r>
      <w:r w:rsidR="00B65B4E">
        <w:rPr>
          <w:rFonts w:eastAsiaTheme="minorHAnsi"/>
        </w:rPr>
        <w:t xml:space="preserve">&amp; </w:t>
      </w:r>
      <w:r w:rsidR="00B65B4E" w:rsidRPr="001C240A">
        <w:rPr>
          <w:rFonts w:eastAsiaTheme="minorHAnsi"/>
        </w:rPr>
        <w:t>McLaughlin</w:t>
      </w:r>
      <w:r w:rsidR="00B65B4E">
        <w:rPr>
          <w:rFonts w:eastAsiaTheme="minorHAnsi"/>
        </w:rPr>
        <w:t xml:space="preserve">, 2016; </w:t>
      </w:r>
      <w:r w:rsidR="00B65B4E" w:rsidRPr="00BD2E9F">
        <w:rPr>
          <w:rFonts w:eastAsiaTheme="minorHAnsi"/>
        </w:rPr>
        <w:t xml:space="preserve">Hale, </w:t>
      </w:r>
      <w:proofErr w:type="spellStart"/>
      <w:r w:rsidR="00B65B4E" w:rsidRPr="00BD2E9F">
        <w:rPr>
          <w:rFonts w:eastAsiaTheme="minorHAnsi"/>
        </w:rPr>
        <w:t>Chertow</w:t>
      </w:r>
      <w:proofErr w:type="spellEnd"/>
      <w:r w:rsidR="00B65B4E">
        <w:rPr>
          <w:rFonts w:eastAsiaTheme="minorHAnsi"/>
        </w:rPr>
        <w:t>,</w:t>
      </w:r>
      <w:r w:rsidR="00B65B4E" w:rsidRPr="00BD2E9F">
        <w:rPr>
          <w:rFonts w:eastAsiaTheme="minorHAnsi"/>
        </w:rPr>
        <w:t xml:space="preserve"> </w:t>
      </w:r>
      <w:proofErr w:type="spellStart"/>
      <w:r w:rsidR="00B65B4E" w:rsidRPr="00BD2E9F">
        <w:rPr>
          <w:rFonts w:eastAsiaTheme="minorHAnsi"/>
        </w:rPr>
        <w:t>Weng</w:t>
      </w:r>
      <w:proofErr w:type="spellEnd"/>
      <w:r w:rsidR="00B65B4E" w:rsidRPr="00BD2E9F">
        <w:rPr>
          <w:rFonts w:eastAsiaTheme="minorHAnsi"/>
        </w:rPr>
        <w:t xml:space="preserve">, </w:t>
      </w:r>
      <w:proofErr w:type="spellStart"/>
      <w:r w:rsidR="00B65B4E" w:rsidRPr="00BD2E9F">
        <w:rPr>
          <w:rFonts w:eastAsiaTheme="minorHAnsi"/>
        </w:rPr>
        <w:t>Tabuenca</w:t>
      </w:r>
      <w:proofErr w:type="spellEnd"/>
      <w:r w:rsidR="00B65B4E" w:rsidRPr="00BD2E9F">
        <w:rPr>
          <w:rFonts w:eastAsiaTheme="minorHAnsi"/>
        </w:rPr>
        <w:t xml:space="preserve">, </w:t>
      </w:r>
      <w:r w:rsidR="00B65B4E">
        <w:rPr>
          <w:rFonts w:eastAsiaTheme="minorHAnsi"/>
        </w:rPr>
        <w:t xml:space="preserve">&amp; </w:t>
      </w:r>
      <w:r w:rsidR="00B65B4E" w:rsidRPr="00BD2E9F">
        <w:rPr>
          <w:rFonts w:eastAsiaTheme="minorHAnsi"/>
        </w:rPr>
        <w:t>Aye</w:t>
      </w:r>
      <w:r w:rsidR="00B65B4E">
        <w:rPr>
          <w:rFonts w:eastAsiaTheme="minorHAnsi"/>
        </w:rPr>
        <w:t>, 2021).</w:t>
      </w:r>
    </w:p>
    <w:p w14:paraId="5E113857" w14:textId="77777777" w:rsidR="00983568" w:rsidRPr="001C240A" w:rsidRDefault="00983568" w:rsidP="00CF0116">
      <w:pPr>
        <w:rPr>
          <w:b/>
          <w:bCs/>
          <w:color w:val="212121"/>
          <w:shd w:val="clear" w:color="auto" w:fill="FFFFFF"/>
        </w:rPr>
      </w:pPr>
    </w:p>
    <w:p w14:paraId="1CCEAC0F" w14:textId="77777777" w:rsidR="003D58D1" w:rsidRDefault="003D58D1">
      <w:pPr>
        <w:rPr>
          <w:b/>
          <w:bCs/>
          <w:color w:val="212121"/>
          <w:shd w:val="clear" w:color="auto" w:fill="FFFFFF"/>
        </w:rPr>
      </w:pPr>
      <w:r>
        <w:rPr>
          <w:b/>
          <w:bCs/>
          <w:color w:val="212121"/>
          <w:shd w:val="clear" w:color="auto" w:fill="FFFFFF"/>
        </w:rPr>
        <w:br w:type="page"/>
      </w:r>
    </w:p>
    <w:p w14:paraId="4C29D432" w14:textId="5B77C508" w:rsidR="00983568" w:rsidRPr="001C240A" w:rsidRDefault="00983568" w:rsidP="00182C94">
      <w:pPr>
        <w:rPr>
          <w:b/>
          <w:bCs/>
          <w:color w:val="212121"/>
          <w:shd w:val="clear" w:color="auto" w:fill="FFFFFF"/>
        </w:rPr>
      </w:pPr>
      <w:r w:rsidRPr="001C240A">
        <w:rPr>
          <w:b/>
          <w:bCs/>
          <w:color w:val="212121"/>
          <w:shd w:val="clear" w:color="auto" w:fill="FFFFFF"/>
        </w:rPr>
        <w:lastRenderedPageBreak/>
        <w:t>References:</w:t>
      </w:r>
    </w:p>
    <w:p w14:paraId="21ABC934" w14:textId="01E6E8AB" w:rsidR="00602FD0" w:rsidRDefault="00602FD0" w:rsidP="00182C94">
      <w:pPr>
        <w:rPr>
          <w:rFonts w:eastAsiaTheme="minorHAnsi"/>
        </w:rPr>
      </w:pPr>
    </w:p>
    <w:p w14:paraId="4DB3179B" w14:textId="77777777" w:rsidR="00602FD0" w:rsidRDefault="00602FD0" w:rsidP="00602FD0">
      <w:pPr>
        <w:rPr>
          <w:rFonts w:eastAsiaTheme="minorHAnsi"/>
        </w:rPr>
      </w:pPr>
      <w:r w:rsidRPr="001C240A">
        <w:rPr>
          <w:rFonts w:eastAsiaTheme="minorHAnsi"/>
          <w:color w:val="000000"/>
        </w:rPr>
        <w:t>Adolescent Brain Cognitive Development Study</w:t>
      </w:r>
      <w:r>
        <w:rPr>
          <w:rFonts w:eastAsiaTheme="minorHAnsi"/>
          <w:color w:val="000000"/>
        </w:rPr>
        <w:t>. [</w:t>
      </w:r>
      <w:r w:rsidRPr="00BD2E9F">
        <w:rPr>
          <w:rFonts w:eastAsiaTheme="minorHAnsi"/>
          <w:color w:val="000000"/>
        </w:rPr>
        <w:t>cited 20</w:t>
      </w:r>
      <w:r>
        <w:rPr>
          <w:rFonts w:eastAsiaTheme="minorHAnsi"/>
          <w:color w:val="000000"/>
        </w:rPr>
        <w:t>21</w:t>
      </w:r>
      <w:r w:rsidRPr="00BD2E9F">
        <w:rPr>
          <w:rFonts w:eastAsiaTheme="minorHAnsi"/>
          <w:color w:val="000000"/>
        </w:rPr>
        <w:t xml:space="preserve"> </w:t>
      </w:r>
      <w:r>
        <w:rPr>
          <w:rFonts w:eastAsiaTheme="minorHAnsi"/>
          <w:color w:val="000000"/>
        </w:rPr>
        <w:t>Sep</w:t>
      </w:r>
      <w:r w:rsidRPr="00BD2E9F">
        <w:rPr>
          <w:rFonts w:eastAsiaTheme="minorHAnsi"/>
          <w:color w:val="000000"/>
        </w:rPr>
        <w:t xml:space="preserve"> </w:t>
      </w:r>
      <w:r>
        <w:rPr>
          <w:rFonts w:eastAsiaTheme="minorHAnsi"/>
          <w:color w:val="000000"/>
        </w:rPr>
        <w:t>1</w:t>
      </w:r>
      <w:r w:rsidRPr="00BD2E9F">
        <w:rPr>
          <w:rFonts w:eastAsiaTheme="minorHAnsi"/>
          <w:color w:val="000000"/>
        </w:rPr>
        <w:t xml:space="preserve">] </w:t>
      </w:r>
      <w:r>
        <w:rPr>
          <w:rFonts w:eastAsiaTheme="minorHAnsi"/>
          <w:color w:val="000000"/>
        </w:rPr>
        <w:t xml:space="preserve">Available from: </w:t>
      </w:r>
      <w:r w:rsidRPr="00BC663B">
        <w:rPr>
          <w:rFonts w:eastAsiaTheme="minorHAnsi"/>
          <w:color w:val="000000"/>
        </w:rPr>
        <w:t>https://abcdstudy.org/scientists/protocols/</w:t>
      </w:r>
    </w:p>
    <w:p w14:paraId="12788DBD" w14:textId="77777777" w:rsidR="00602FD0" w:rsidRDefault="00602FD0" w:rsidP="00602FD0">
      <w:pPr>
        <w:rPr>
          <w:rFonts w:eastAsiaTheme="minorHAnsi"/>
        </w:rPr>
      </w:pPr>
    </w:p>
    <w:p w14:paraId="6F79F9E5" w14:textId="73B66381" w:rsidR="00602FD0" w:rsidRDefault="00602FD0" w:rsidP="00602FD0">
      <w:pPr>
        <w:rPr>
          <w:b/>
          <w:bCs/>
          <w:color w:val="212121"/>
          <w:shd w:val="clear" w:color="auto" w:fill="FFFFFF"/>
        </w:rPr>
      </w:pPr>
      <w:r w:rsidRPr="00BD2E9F">
        <w:rPr>
          <w:rFonts w:eastAsiaTheme="minorHAnsi"/>
        </w:rPr>
        <w:t>Blashill</w:t>
      </w:r>
      <w:r>
        <w:rPr>
          <w:rFonts w:eastAsiaTheme="minorHAnsi"/>
        </w:rPr>
        <w:t>,</w:t>
      </w:r>
      <w:r w:rsidRPr="00BD2E9F">
        <w:rPr>
          <w:rFonts w:eastAsiaTheme="minorHAnsi"/>
        </w:rPr>
        <w:t xml:space="preserve"> A</w:t>
      </w:r>
      <w:r>
        <w:rPr>
          <w:rFonts w:eastAsiaTheme="minorHAnsi"/>
        </w:rPr>
        <w:t xml:space="preserve">. </w:t>
      </w:r>
      <w:r w:rsidRPr="00BD2E9F">
        <w:rPr>
          <w:rFonts w:eastAsiaTheme="minorHAnsi"/>
        </w:rPr>
        <w:t>J</w:t>
      </w:r>
      <w:r>
        <w:rPr>
          <w:rFonts w:eastAsiaTheme="minorHAnsi"/>
        </w:rPr>
        <w:t>.</w:t>
      </w:r>
      <w:r w:rsidRPr="00BD2E9F">
        <w:rPr>
          <w:rFonts w:eastAsiaTheme="minorHAnsi"/>
        </w:rPr>
        <w:t>, Fox</w:t>
      </w:r>
      <w:r>
        <w:rPr>
          <w:rFonts w:eastAsiaTheme="minorHAnsi"/>
        </w:rPr>
        <w:t>,</w:t>
      </w:r>
      <w:r w:rsidRPr="00BD2E9F">
        <w:rPr>
          <w:rFonts w:eastAsiaTheme="minorHAnsi"/>
        </w:rPr>
        <w:t xml:space="preserve"> K</w:t>
      </w:r>
      <w:r>
        <w:rPr>
          <w:rFonts w:eastAsiaTheme="minorHAnsi"/>
        </w:rPr>
        <w:t>.</w:t>
      </w:r>
      <w:r w:rsidRPr="00BD2E9F">
        <w:rPr>
          <w:rFonts w:eastAsiaTheme="minorHAnsi"/>
        </w:rPr>
        <w:t>, Feinstein</w:t>
      </w:r>
      <w:r>
        <w:rPr>
          <w:rFonts w:eastAsiaTheme="minorHAnsi"/>
        </w:rPr>
        <w:t>,</w:t>
      </w:r>
      <w:r w:rsidRPr="00BD2E9F">
        <w:rPr>
          <w:rFonts w:eastAsiaTheme="minorHAnsi"/>
        </w:rPr>
        <w:t xml:space="preserve"> B</w:t>
      </w:r>
      <w:r>
        <w:rPr>
          <w:rFonts w:eastAsiaTheme="minorHAnsi"/>
        </w:rPr>
        <w:t xml:space="preserve">. </w:t>
      </w:r>
      <w:r w:rsidRPr="00BD2E9F">
        <w:rPr>
          <w:rFonts w:eastAsiaTheme="minorHAnsi"/>
        </w:rPr>
        <w:t>A</w:t>
      </w:r>
      <w:r>
        <w:rPr>
          <w:rFonts w:eastAsiaTheme="minorHAnsi"/>
        </w:rPr>
        <w:t>.</w:t>
      </w:r>
      <w:r w:rsidRPr="00BD2E9F">
        <w:rPr>
          <w:rFonts w:eastAsiaTheme="minorHAnsi"/>
        </w:rPr>
        <w:t>, Albright</w:t>
      </w:r>
      <w:r>
        <w:rPr>
          <w:rFonts w:eastAsiaTheme="minorHAnsi"/>
        </w:rPr>
        <w:t>,</w:t>
      </w:r>
      <w:r w:rsidRPr="00BD2E9F">
        <w:rPr>
          <w:rFonts w:eastAsiaTheme="minorHAnsi"/>
        </w:rPr>
        <w:t xml:space="preserve"> C</w:t>
      </w:r>
      <w:r>
        <w:rPr>
          <w:rFonts w:eastAsiaTheme="minorHAnsi"/>
        </w:rPr>
        <w:t xml:space="preserve">. </w:t>
      </w:r>
      <w:r w:rsidRPr="00BD2E9F">
        <w:rPr>
          <w:rFonts w:eastAsiaTheme="minorHAnsi"/>
        </w:rPr>
        <w:t>A</w:t>
      </w:r>
      <w:r>
        <w:rPr>
          <w:rFonts w:eastAsiaTheme="minorHAnsi"/>
        </w:rPr>
        <w:t>.</w:t>
      </w:r>
      <w:r w:rsidRPr="00BD2E9F">
        <w:rPr>
          <w:rFonts w:eastAsiaTheme="minorHAnsi"/>
        </w:rPr>
        <w:t xml:space="preserve">, </w:t>
      </w:r>
      <w:r w:rsidR="009D7D50">
        <w:rPr>
          <w:rFonts w:eastAsiaTheme="minorHAnsi"/>
        </w:rPr>
        <w:t xml:space="preserve">&amp; </w:t>
      </w:r>
      <w:proofErr w:type="spellStart"/>
      <w:r w:rsidRPr="00BD2E9F">
        <w:rPr>
          <w:rFonts w:eastAsiaTheme="minorHAnsi"/>
        </w:rPr>
        <w:t>Calzo</w:t>
      </w:r>
      <w:proofErr w:type="spellEnd"/>
      <w:r>
        <w:rPr>
          <w:rFonts w:eastAsiaTheme="minorHAnsi"/>
        </w:rPr>
        <w:t>,</w:t>
      </w:r>
      <w:r w:rsidRPr="00BD2E9F">
        <w:rPr>
          <w:rFonts w:eastAsiaTheme="minorHAnsi"/>
        </w:rPr>
        <w:t xml:space="preserve"> J</w:t>
      </w:r>
      <w:r>
        <w:rPr>
          <w:rFonts w:eastAsiaTheme="minorHAnsi"/>
        </w:rPr>
        <w:t xml:space="preserve">. </w:t>
      </w:r>
      <w:r w:rsidRPr="00BD2E9F">
        <w:rPr>
          <w:rFonts w:eastAsiaTheme="minorHAnsi"/>
        </w:rPr>
        <w:t>P</w:t>
      </w:r>
      <w:r w:rsidRPr="001C240A">
        <w:rPr>
          <w:rFonts w:eastAsiaTheme="minorHAnsi"/>
        </w:rPr>
        <w:t xml:space="preserve">. </w:t>
      </w:r>
      <w:r>
        <w:rPr>
          <w:rFonts w:eastAsiaTheme="minorHAnsi"/>
        </w:rPr>
        <w:t xml:space="preserve">(2021). </w:t>
      </w:r>
      <w:proofErr w:type="spellStart"/>
      <w:r w:rsidRPr="001C240A">
        <w:rPr>
          <w:rFonts w:eastAsiaTheme="minorHAnsi"/>
        </w:rPr>
        <w:t>Nonsuicidal</w:t>
      </w:r>
      <w:proofErr w:type="spellEnd"/>
      <w:r w:rsidRPr="001C240A">
        <w:rPr>
          <w:rFonts w:eastAsiaTheme="minorHAnsi"/>
        </w:rPr>
        <w:t xml:space="preserve"> self-injury, suicide ideation, and suicide attempts among sexual minority children. </w:t>
      </w:r>
      <w:r w:rsidRPr="001C240A">
        <w:rPr>
          <w:rFonts w:eastAsiaTheme="minorHAnsi"/>
          <w:i/>
        </w:rPr>
        <w:t>J Consult Clin Psychol</w:t>
      </w:r>
      <w:r>
        <w:rPr>
          <w:rFonts w:eastAsiaTheme="minorHAnsi"/>
        </w:rPr>
        <w:t xml:space="preserve">, 89(2), </w:t>
      </w:r>
      <w:r w:rsidRPr="001C240A">
        <w:rPr>
          <w:rFonts w:eastAsiaTheme="minorHAnsi"/>
        </w:rPr>
        <w:t>73-80.</w:t>
      </w:r>
    </w:p>
    <w:p w14:paraId="6BD0749E" w14:textId="2BA465F4" w:rsidR="00602FD0" w:rsidRDefault="00602FD0" w:rsidP="00602FD0">
      <w:pPr>
        <w:rPr>
          <w:b/>
          <w:bCs/>
          <w:color w:val="212121"/>
          <w:shd w:val="clear" w:color="auto" w:fill="FFFFFF"/>
        </w:rPr>
      </w:pPr>
    </w:p>
    <w:p w14:paraId="5CE7FCD5" w14:textId="3304DB01" w:rsidR="00602FD0" w:rsidRDefault="00602FD0" w:rsidP="00602FD0">
      <w:pPr>
        <w:rPr>
          <w:rFonts w:eastAsiaTheme="minorHAnsi"/>
        </w:rPr>
      </w:pPr>
      <w:proofErr w:type="spellStart"/>
      <w:r w:rsidRPr="001C240A">
        <w:rPr>
          <w:rFonts w:eastAsiaTheme="minorHAnsi"/>
        </w:rPr>
        <w:t>Bouris</w:t>
      </w:r>
      <w:proofErr w:type="spellEnd"/>
      <w:r w:rsidRPr="001C240A">
        <w:rPr>
          <w:rFonts w:eastAsiaTheme="minorHAnsi"/>
        </w:rPr>
        <w:t xml:space="preserve"> A, </w:t>
      </w:r>
      <w:proofErr w:type="spellStart"/>
      <w:r w:rsidRPr="001C240A">
        <w:rPr>
          <w:rFonts w:eastAsiaTheme="minorHAnsi"/>
        </w:rPr>
        <w:t>Guilamo</w:t>
      </w:r>
      <w:proofErr w:type="spellEnd"/>
      <w:r w:rsidRPr="001C240A">
        <w:rPr>
          <w:rFonts w:eastAsiaTheme="minorHAnsi"/>
        </w:rPr>
        <w:t>-Ramos V, Pickard A,</w:t>
      </w:r>
      <w:r>
        <w:rPr>
          <w:rFonts w:eastAsiaTheme="minorHAnsi"/>
        </w:rPr>
        <w:t xml:space="preserve"> </w:t>
      </w:r>
      <w:proofErr w:type="spellStart"/>
      <w:r>
        <w:rPr>
          <w:rFonts w:eastAsiaTheme="minorHAnsi"/>
        </w:rPr>
        <w:t>Shiu</w:t>
      </w:r>
      <w:proofErr w:type="spellEnd"/>
      <w:r>
        <w:rPr>
          <w:rFonts w:eastAsiaTheme="minorHAnsi"/>
        </w:rPr>
        <w:t xml:space="preserve">, C., </w:t>
      </w:r>
      <w:proofErr w:type="spellStart"/>
      <w:r>
        <w:rPr>
          <w:rFonts w:eastAsiaTheme="minorHAnsi"/>
        </w:rPr>
        <w:t>Loosier</w:t>
      </w:r>
      <w:proofErr w:type="spellEnd"/>
      <w:r>
        <w:rPr>
          <w:rFonts w:eastAsiaTheme="minorHAnsi"/>
        </w:rPr>
        <w:t xml:space="preserve">, P.S., </w:t>
      </w:r>
      <w:proofErr w:type="spellStart"/>
      <w:r>
        <w:rPr>
          <w:rFonts w:eastAsiaTheme="minorHAnsi"/>
        </w:rPr>
        <w:t>Dittus</w:t>
      </w:r>
      <w:proofErr w:type="spellEnd"/>
      <w:r>
        <w:rPr>
          <w:rFonts w:eastAsiaTheme="minorHAnsi"/>
        </w:rPr>
        <w:t xml:space="preserve">, P., </w:t>
      </w:r>
      <w:proofErr w:type="spellStart"/>
      <w:r w:rsidR="009D7D50">
        <w:rPr>
          <w:rFonts w:eastAsiaTheme="minorHAnsi"/>
        </w:rPr>
        <w:t>Gloppen</w:t>
      </w:r>
      <w:proofErr w:type="spellEnd"/>
      <w:r w:rsidR="009D7D50">
        <w:rPr>
          <w:rFonts w:eastAsiaTheme="minorHAnsi"/>
        </w:rPr>
        <w:t xml:space="preserve">, K., &amp; Michael </w:t>
      </w:r>
      <w:proofErr w:type="spellStart"/>
      <w:r w:rsidR="009D7D50">
        <w:rPr>
          <w:rFonts w:eastAsiaTheme="minorHAnsi"/>
        </w:rPr>
        <w:t>Waldmiller</w:t>
      </w:r>
      <w:proofErr w:type="spellEnd"/>
      <w:r w:rsidR="009D7D50">
        <w:rPr>
          <w:rFonts w:eastAsiaTheme="minorHAnsi"/>
        </w:rPr>
        <w:t>. J</w:t>
      </w:r>
      <w:r>
        <w:rPr>
          <w:rFonts w:eastAsiaTheme="minorHAnsi"/>
        </w:rPr>
        <w:t>. (2010).</w:t>
      </w:r>
      <w:r w:rsidRPr="001C240A">
        <w:rPr>
          <w:rFonts w:eastAsiaTheme="minorHAnsi"/>
        </w:rPr>
        <w:t xml:space="preserve"> A systematic review of parental influences on the health and well-being of lesbian, gay, and bisexual youth: time for a new public health research and practice agenda. </w:t>
      </w:r>
      <w:r w:rsidRPr="001C240A">
        <w:rPr>
          <w:rFonts w:eastAsiaTheme="minorHAnsi"/>
          <w:i/>
        </w:rPr>
        <w:t xml:space="preserve">J Prim </w:t>
      </w:r>
      <w:proofErr w:type="spellStart"/>
      <w:r w:rsidRPr="001C240A">
        <w:rPr>
          <w:rFonts w:eastAsiaTheme="minorHAnsi"/>
          <w:i/>
        </w:rPr>
        <w:t>Prev</w:t>
      </w:r>
      <w:proofErr w:type="spellEnd"/>
      <w:r>
        <w:rPr>
          <w:rFonts w:eastAsiaTheme="minorHAnsi"/>
        </w:rPr>
        <w:t xml:space="preserve">, 31(5-6), </w:t>
      </w:r>
      <w:r w:rsidRPr="001C240A">
        <w:rPr>
          <w:rFonts w:eastAsiaTheme="minorHAnsi"/>
        </w:rPr>
        <w:t>273-309.</w:t>
      </w:r>
    </w:p>
    <w:p w14:paraId="432C04D6" w14:textId="77777777" w:rsidR="00602FD0" w:rsidRPr="00602FD0" w:rsidRDefault="00602FD0" w:rsidP="00602FD0">
      <w:pPr>
        <w:rPr>
          <w:b/>
          <w:bCs/>
          <w:color w:val="212121"/>
          <w:shd w:val="clear" w:color="auto" w:fill="FFFFFF"/>
        </w:rPr>
      </w:pPr>
    </w:p>
    <w:p w14:paraId="60221251" w14:textId="23186BA4" w:rsidR="009C5AB7" w:rsidRDefault="009C5AB7" w:rsidP="00602FD0">
      <w:pPr>
        <w:autoSpaceDE w:val="0"/>
        <w:autoSpaceDN w:val="0"/>
        <w:adjustRightInd w:val="0"/>
        <w:rPr>
          <w:rFonts w:eastAsiaTheme="minorHAnsi"/>
        </w:rPr>
      </w:pPr>
      <w:r w:rsidRPr="001C240A">
        <w:rPr>
          <w:rFonts w:eastAsiaTheme="minorHAnsi"/>
        </w:rPr>
        <w:t>Curtin</w:t>
      </w:r>
      <w:r w:rsidR="003B3CCB">
        <w:rPr>
          <w:rFonts w:eastAsiaTheme="minorHAnsi"/>
        </w:rPr>
        <w:t>,</w:t>
      </w:r>
      <w:r w:rsidRPr="001C240A">
        <w:rPr>
          <w:rFonts w:eastAsiaTheme="minorHAnsi"/>
        </w:rPr>
        <w:t xml:space="preserve"> S</w:t>
      </w:r>
      <w:r w:rsidR="003B3CCB">
        <w:rPr>
          <w:rFonts w:eastAsiaTheme="minorHAnsi"/>
        </w:rPr>
        <w:t>.</w:t>
      </w:r>
      <w:r w:rsidR="00CF2589">
        <w:rPr>
          <w:rFonts w:eastAsiaTheme="minorHAnsi"/>
        </w:rPr>
        <w:t xml:space="preserve"> </w:t>
      </w:r>
      <w:r w:rsidRPr="001C240A">
        <w:rPr>
          <w:rFonts w:eastAsiaTheme="minorHAnsi"/>
        </w:rPr>
        <w:t xml:space="preserve">C. </w:t>
      </w:r>
      <w:r w:rsidR="003B3CCB">
        <w:rPr>
          <w:rFonts w:eastAsiaTheme="minorHAnsi"/>
        </w:rPr>
        <w:t xml:space="preserve">(2020). </w:t>
      </w:r>
      <w:r w:rsidRPr="001C240A">
        <w:rPr>
          <w:rFonts w:eastAsiaTheme="minorHAnsi"/>
        </w:rPr>
        <w:t xml:space="preserve">State suicide rates among adolescents and young adults aged 10–24: United States, 2000–2018. </w:t>
      </w:r>
      <w:r w:rsidRPr="001C240A">
        <w:rPr>
          <w:rFonts w:eastAsiaTheme="minorHAnsi"/>
          <w:i/>
        </w:rPr>
        <w:t>National Vital Statistics Reports</w:t>
      </w:r>
      <w:r w:rsidR="003B3CCB">
        <w:rPr>
          <w:rFonts w:eastAsiaTheme="minorHAnsi"/>
        </w:rPr>
        <w:t xml:space="preserve">, 69, </w:t>
      </w:r>
      <w:r w:rsidRPr="001C240A">
        <w:rPr>
          <w:rFonts w:eastAsiaTheme="minorHAnsi"/>
        </w:rPr>
        <w:t>Hyattsville, MD: National Cen</w:t>
      </w:r>
      <w:r w:rsidR="003B3CCB">
        <w:rPr>
          <w:rFonts w:eastAsiaTheme="minorHAnsi"/>
        </w:rPr>
        <w:t>ter for Health Statistics.</w:t>
      </w:r>
    </w:p>
    <w:p w14:paraId="4D439C2C" w14:textId="77777777" w:rsidR="00602FD0" w:rsidRDefault="00602FD0" w:rsidP="00602FD0">
      <w:pPr>
        <w:pStyle w:val="NoSpacing"/>
        <w:rPr>
          <w:rFonts w:eastAsiaTheme="minorHAnsi"/>
        </w:rPr>
      </w:pPr>
    </w:p>
    <w:p w14:paraId="520903D0" w14:textId="2BFD9516" w:rsidR="00602FD0" w:rsidRPr="001C240A" w:rsidRDefault="00602FD0" w:rsidP="00602FD0">
      <w:pPr>
        <w:pStyle w:val="NoSpacing"/>
        <w:rPr>
          <w:rFonts w:eastAsiaTheme="minorHAnsi"/>
        </w:rPr>
      </w:pPr>
      <w:proofErr w:type="spellStart"/>
      <w:r w:rsidRPr="003B3CCB">
        <w:rPr>
          <w:rFonts w:eastAsiaTheme="minorHAnsi"/>
        </w:rPr>
        <w:t>DeVille</w:t>
      </w:r>
      <w:proofErr w:type="spellEnd"/>
      <w:r w:rsidRPr="003B3CCB">
        <w:rPr>
          <w:rFonts w:eastAsiaTheme="minorHAnsi"/>
        </w:rPr>
        <w:t xml:space="preserve">, D. C., Whalen, D., Breslin, F. J., Morris, A. S., Khalsa, S. S., Paulus, M. P., </w:t>
      </w:r>
      <w:r w:rsidR="009D7D50">
        <w:rPr>
          <w:rFonts w:eastAsiaTheme="minorHAnsi"/>
        </w:rPr>
        <w:t xml:space="preserve">&amp; </w:t>
      </w:r>
      <w:proofErr w:type="spellStart"/>
      <w:r w:rsidR="009D7D50">
        <w:rPr>
          <w:rFonts w:eastAsiaTheme="minorHAnsi"/>
        </w:rPr>
        <w:t>Barch</w:t>
      </w:r>
      <w:proofErr w:type="spellEnd"/>
      <w:r w:rsidR="009D7D50">
        <w:rPr>
          <w:rFonts w:eastAsiaTheme="minorHAnsi"/>
        </w:rPr>
        <w:t>, D. M</w:t>
      </w:r>
      <w:r>
        <w:rPr>
          <w:rFonts w:eastAsiaTheme="minorHAnsi"/>
        </w:rPr>
        <w:t>. (2020). Prevalence and family-related factors associated with suicidal ideation, suicide attempts, and self-injury in children a</w:t>
      </w:r>
      <w:r w:rsidRPr="003B3CCB">
        <w:rPr>
          <w:rFonts w:eastAsiaTheme="minorHAnsi"/>
        </w:rPr>
        <w:t>ged 9 to 10 Years. </w:t>
      </w:r>
      <w:r w:rsidRPr="003B3CCB">
        <w:rPr>
          <w:rFonts w:eastAsiaTheme="minorHAnsi"/>
          <w:i/>
        </w:rPr>
        <w:t>JAMA network open</w:t>
      </w:r>
      <w:r w:rsidRPr="003B3CCB">
        <w:rPr>
          <w:rFonts w:eastAsiaTheme="minorHAnsi"/>
        </w:rPr>
        <w:t>, 3(2), e1920956.</w:t>
      </w:r>
    </w:p>
    <w:p w14:paraId="01006F7F" w14:textId="77777777" w:rsidR="00602FD0" w:rsidRDefault="00602FD0" w:rsidP="00602FD0">
      <w:pPr>
        <w:autoSpaceDE w:val="0"/>
        <w:autoSpaceDN w:val="0"/>
        <w:adjustRightInd w:val="0"/>
        <w:rPr>
          <w:rFonts w:eastAsiaTheme="minorHAnsi"/>
        </w:rPr>
      </w:pPr>
    </w:p>
    <w:p w14:paraId="7AE62F91" w14:textId="72641895" w:rsidR="00602FD0" w:rsidRDefault="00602FD0" w:rsidP="00602FD0">
      <w:pPr>
        <w:autoSpaceDE w:val="0"/>
        <w:autoSpaceDN w:val="0"/>
        <w:adjustRightInd w:val="0"/>
        <w:rPr>
          <w:rFonts w:eastAsiaTheme="minorHAnsi"/>
        </w:rPr>
      </w:pPr>
      <w:r w:rsidRPr="009C130D">
        <w:rPr>
          <w:rFonts w:eastAsiaTheme="minorHAnsi"/>
        </w:rPr>
        <w:t>Eisenberg</w:t>
      </w:r>
      <w:r>
        <w:rPr>
          <w:rFonts w:eastAsiaTheme="minorHAnsi"/>
        </w:rPr>
        <w:t>,</w:t>
      </w:r>
      <w:r w:rsidRPr="009C130D">
        <w:rPr>
          <w:rFonts w:eastAsiaTheme="minorHAnsi"/>
        </w:rPr>
        <w:t xml:space="preserve"> M</w:t>
      </w:r>
      <w:r>
        <w:rPr>
          <w:rFonts w:eastAsiaTheme="minorHAnsi"/>
        </w:rPr>
        <w:t xml:space="preserve">. </w:t>
      </w:r>
      <w:r w:rsidRPr="009C130D">
        <w:rPr>
          <w:rFonts w:eastAsiaTheme="minorHAnsi"/>
        </w:rPr>
        <w:t>E</w:t>
      </w:r>
      <w:r>
        <w:rPr>
          <w:rFonts w:eastAsiaTheme="minorHAnsi"/>
        </w:rPr>
        <w:t>.</w:t>
      </w:r>
      <w:r w:rsidR="009D7D50">
        <w:rPr>
          <w:rFonts w:eastAsiaTheme="minorHAnsi"/>
        </w:rPr>
        <w:t>, &amp;</w:t>
      </w:r>
      <w:r w:rsidRPr="009C130D">
        <w:rPr>
          <w:rFonts w:eastAsiaTheme="minorHAnsi"/>
        </w:rPr>
        <w:t xml:space="preserve"> Resnick</w:t>
      </w:r>
      <w:r>
        <w:rPr>
          <w:rFonts w:eastAsiaTheme="minorHAnsi"/>
        </w:rPr>
        <w:t>,</w:t>
      </w:r>
      <w:r w:rsidRPr="009C130D">
        <w:rPr>
          <w:rFonts w:eastAsiaTheme="minorHAnsi"/>
        </w:rPr>
        <w:t xml:space="preserve"> M</w:t>
      </w:r>
      <w:r>
        <w:rPr>
          <w:rFonts w:eastAsiaTheme="minorHAnsi"/>
        </w:rPr>
        <w:t xml:space="preserve">. </w:t>
      </w:r>
      <w:r w:rsidRPr="009C130D">
        <w:rPr>
          <w:rFonts w:eastAsiaTheme="minorHAnsi"/>
        </w:rPr>
        <w:t xml:space="preserve">D. </w:t>
      </w:r>
      <w:r>
        <w:rPr>
          <w:rFonts w:eastAsiaTheme="minorHAnsi"/>
        </w:rPr>
        <w:t xml:space="preserve">(2006). </w:t>
      </w:r>
      <w:r w:rsidRPr="009C130D">
        <w:rPr>
          <w:rFonts w:eastAsiaTheme="minorHAnsi"/>
        </w:rPr>
        <w:t xml:space="preserve">Suicidality among gay, lesbian and bisexual youth: the role of protective factors. </w:t>
      </w:r>
      <w:r w:rsidRPr="009C130D">
        <w:rPr>
          <w:rFonts w:eastAsiaTheme="minorHAnsi"/>
          <w:i/>
        </w:rPr>
        <w:t xml:space="preserve">J </w:t>
      </w:r>
      <w:proofErr w:type="spellStart"/>
      <w:r w:rsidRPr="009C130D">
        <w:rPr>
          <w:rFonts w:eastAsiaTheme="minorHAnsi"/>
          <w:i/>
        </w:rPr>
        <w:t>Adolesc</w:t>
      </w:r>
      <w:proofErr w:type="spellEnd"/>
      <w:r w:rsidRPr="009C130D">
        <w:rPr>
          <w:rFonts w:eastAsiaTheme="minorHAnsi"/>
          <w:i/>
        </w:rPr>
        <w:t xml:space="preserve"> Health</w:t>
      </w:r>
      <w:r>
        <w:rPr>
          <w:rFonts w:eastAsiaTheme="minorHAnsi"/>
        </w:rPr>
        <w:t xml:space="preserve">, 39(5), </w:t>
      </w:r>
      <w:r w:rsidRPr="009C130D">
        <w:rPr>
          <w:rFonts w:eastAsiaTheme="minorHAnsi"/>
        </w:rPr>
        <w:t>662-</w:t>
      </w:r>
      <w:r>
        <w:rPr>
          <w:rFonts w:eastAsiaTheme="minorHAnsi"/>
        </w:rPr>
        <w:t>66</w:t>
      </w:r>
      <w:r w:rsidRPr="009C130D">
        <w:rPr>
          <w:rFonts w:eastAsiaTheme="minorHAnsi"/>
        </w:rPr>
        <w:t>8.</w:t>
      </w:r>
    </w:p>
    <w:p w14:paraId="59FF60E7" w14:textId="77777777" w:rsidR="00602FD0" w:rsidRPr="00602FD0" w:rsidRDefault="00602FD0" w:rsidP="00602FD0">
      <w:pPr>
        <w:autoSpaceDE w:val="0"/>
        <w:autoSpaceDN w:val="0"/>
        <w:adjustRightInd w:val="0"/>
        <w:rPr>
          <w:rFonts w:eastAsiaTheme="minorHAnsi"/>
        </w:rPr>
      </w:pPr>
    </w:p>
    <w:p w14:paraId="69FF51A0" w14:textId="1D588814" w:rsidR="00602FD0" w:rsidRPr="00BD2E9F" w:rsidRDefault="00602FD0" w:rsidP="00602FD0">
      <w:r w:rsidRPr="00BD2E9F">
        <w:rPr>
          <w:rFonts w:eastAsiaTheme="minorHAnsi"/>
        </w:rPr>
        <w:t>Hale</w:t>
      </w:r>
      <w:r>
        <w:rPr>
          <w:rFonts w:eastAsiaTheme="minorHAnsi"/>
        </w:rPr>
        <w:t>,</w:t>
      </w:r>
      <w:r w:rsidRPr="00BD2E9F">
        <w:rPr>
          <w:rFonts w:eastAsiaTheme="minorHAnsi"/>
        </w:rPr>
        <w:t xml:space="preserve"> A</w:t>
      </w:r>
      <w:r>
        <w:rPr>
          <w:rFonts w:eastAsiaTheme="minorHAnsi"/>
        </w:rPr>
        <w:t xml:space="preserve">. </w:t>
      </w:r>
      <w:r w:rsidRPr="00BD2E9F">
        <w:rPr>
          <w:rFonts w:eastAsiaTheme="minorHAnsi"/>
        </w:rPr>
        <w:t>E</w:t>
      </w:r>
      <w:r>
        <w:rPr>
          <w:rFonts w:eastAsiaTheme="minorHAnsi"/>
        </w:rPr>
        <w:t>.</w:t>
      </w:r>
      <w:r w:rsidRPr="00BD2E9F">
        <w:rPr>
          <w:rFonts w:eastAsiaTheme="minorHAnsi"/>
        </w:rPr>
        <w:t xml:space="preserve">, </w:t>
      </w:r>
      <w:proofErr w:type="spellStart"/>
      <w:r w:rsidRPr="00BD2E9F">
        <w:rPr>
          <w:rFonts w:eastAsiaTheme="minorHAnsi"/>
        </w:rPr>
        <w:t>Chertow</w:t>
      </w:r>
      <w:proofErr w:type="spellEnd"/>
      <w:r>
        <w:rPr>
          <w:rFonts w:eastAsiaTheme="minorHAnsi"/>
        </w:rPr>
        <w:t>,</w:t>
      </w:r>
      <w:r w:rsidRPr="00BD2E9F">
        <w:rPr>
          <w:rFonts w:eastAsiaTheme="minorHAnsi"/>
        </w:rPr>
        <w:t xml:space="preserve"> S</w:t>
      </w:r>
      <w:r>
        <w:rPr>
          <w:rFonts w:eastAsiaTheme="minorHAnsi"/>
        </w:rPr>
        <w:t xml:space="preserve">. </w:t>
      </w:r>
      <w:r w:rsidRPr="00BD2E9F">
        <w:rPr>
          <w:rFonts w:eastAsiaTheme="minorHAnsi"/>
        </w:rPr>
        <w:t>Y</w:t>
      </w:r>
      <w:r>
        <w:rPr>
          <w:rFonts w:eastAsiaTheme="minorHAnsi"/>
        </w:rPr>
        <w:t>.</w:t>
      </w:r>
      <w:r w:rsidRPr="00BD2E9F">
        <w:rPr>
          <w:rFonts w:eastAsiaTheme="minorHAnsi"/>
        </w:rPr>
        <w:t>, Weng</w:t>
      </w:r>
      <w:r>
        <w:rPr>
          <w:rFonts w:eastAsiaTheme="minorHAnsi"/>
        </w:rPr>
        <w:t>,</w:t>
      </w:r>
      <w:r w:rsidRPr="00BD2E9F">
        <w:rPr>
          <w:rFonts w:eastAsiaTheme="minorHAnsi"/>
        </w:rPr>
        <w:t xml:space="preserve"> Y</w:t>
      </w:r>
      <w:r>
        <w:rPr>
          <w:rFonts w:eastAsiaTheme="minorHAnsi"/>
        </w:rPr>
        <w:t>.</w:t>
      </w:r>
      <w:r w:rsidRPr="00BD2E9F">
        <w:rPr>
          <w:rFonts w:eastAsiaTheme="minorHAnsi"/>
        </w:rPr>
        <w:t xml:space="preserve">, </w:t>
      </w:r>
      <w:proofErr w:type="spellStart"/>
      <w:r w:rsidRPr="00BD2E9F">
        <w:rPr>
          <w:rFonts w:eastAsiaTheme="minorHAnsi"/>
        </w:rPr>
        <w:t>Tabuenca</w:t>
      </w:r>
      <w:proofErr w:type="spellEnd"/>
      <w:r>
        <w:rPr>
          <w:rFonts w:eastAsiaTheme="minorHAnsi"/>
        </w:rPr>
        <w:t>,</w:t>
      </w:r>
      <w:r w:rsidRPr="00BD2E9F">
        <w:rPr>
          <w:rFonts w:eastAsiaTheme="minorHAnsi"/>
        </w:rPr>
        <w:t xml:space="preserve"> A</w:t>
      </w:r>
      <w:r>
        <w:rPr>
          <w:rFonts w:eastAsiaTheme="minorHAnsi"/>
        </w:rPr>
        <w:t>.</w:t>
      </w:r>
      <w:r w:rsidRPr="00BD2E9F">
        <w:rPr>
          <w:rFonts w:eastAsiaTheme="minorHAnsi"/>
        </w:rPr>
        <w:t xml:space="preserve">, </w:t>
      </w:r>
      <w:r w:rsidR="009D7D50">
        <w:rPr>
          <w:rFonts w:eastAsiaTheme="minorHAnsi"/>
        </w:rPr>
        <w:t xml:space="preserve">&amp; </w:t>
      </w:r>
      <w:r w:rsidRPr="00BD2E9F">
        <w:rPr>
          <w:rFonts w:eastAsiaTheme="minorHAnsi"/>
        </w:rPr>
        <w:t>Aye</w:t>
      </w:r>
      <w:r>
        <w:rPr>
          <w:rFonts w:eastAsiaTheme="minorHAnsi"/>
        </w:rPr>
        <w:t>,</w:t>
      </w:r>
      <w:r w:rsidRPr="00BD2E9F">
        <w:rPr>
          <w:rFonts w:eastAsiaTheme="minorHAnsi"/>
        </w:rPr>
        <w:t xml:space="preserve"> T.</w:t>
      </w:r>
      <w:r>
        <w:rPr>
          <w:rFonts w:eastAsiaTheme="minorHAnsi"/>
        </w:rPr>
        <w:t xml:space="preserve"> (2021).</w:t>
      </w:r>
      <w:r w:rsidRPr="00BD2E9F">
        <w:rPr>
          <w:rFonts w:eastAsiaTheme="minorHAnsi"/>
        </w:rPr>
        <w:t xml:space="preserve"> </w:t>
      </w:r>
      <w:r w:rsidRPr="009A1441">
        <w:rPr>
          <w:rFonts w:eastAsiaTheme="minorHAnsi"/>
        </w:rPr>
        <w:t>Perceptions of support among transgender and gender-expansive adolescents and their parents. </w:t>
      </w:r>
      <w:r w:rsidRPr="009A1441">
        <w:rPr>
          <w:rFonts w:eastAsiaTheme="minorHAnsi"/>
          <w:i/>
          <w:iCs/>
        </w:rPr>
        <w:t xml:space="preserve">J </w:t>
      </w:r>
      <w:proofErr w:type="spellStart"/>
      <w:r w:rsidRPr="009A1441">
        <w:rPr>
          <w:rFonts w:eastAsiaTheme="minorHAnsi"/>
          <w:i/>
          <w:iCs/>
        </w:rPr>
        <w:t>Adolesc</w:t>
      </w:r>
      <w:proofErr w:type="spellEnd"/>
      <w:r w:rsidRPr="009A1441">
        <w:rPr>
          <w:rFonts w:eastAsiaTheme="minorHAnsi"/>
          <w:i/>
          <w:iCs/>
        </w:rPr>
        <w:t xml:space="preserve"> Health</w:t>
      </w:r>
      <w:r>
        <w:rPr>
          <w:rFonts w:eastAsiaTheme="minorHAnsi"/>
          <w:i/>
          <w:iCs/>
        </w:rPr>
        <w:t>,</w:t>
      </w:r>
      <w:r>
        <w:rPr>
          <w:rFonts w:eastAsiaTheme="minorHAnsi"/>
        </w:rPr>
        <w:t xml:space="preserve"> 2021, 68(6), </w:t>
      </w:r>
      <w:r w:rsidRPr="009A1441">
        <w:rPr>
          <w:rFonts w:eastAsiaTheme="minorHAnsi"/>
        </w:rPr>
        <w:t>1075-</w:t>
      </w:r>
      <w:r>
        <w:rPr>
          <w:rFonts w:eastAsiaTheme="minorHAnsi"/>
        </w:rPr>
        <w:t>10</w:t>
      </w:r>
      <w:r w:rsidRPr="009A1441">
        <w:rPr>
          <w:rFonts w:eastAsiaTheme="minorHAnsi"/>
        </w:rPr>
        <w:t>81.</w:t>
      </w:r>
    </w:p>
    <w:p w14:paraId="719D320A" w14:textId="77777777" w:rsidR="00602FD0" w:rsidRDefault="00602FD0" w:rsidP="00602FD0">
      <w:pPr>
        <w:rPr>
          <w:rFonts w:eastAsiaTheme="minorHAnsi"/>
        </w:rPr>
      </w:pPr>
    </w:p>
    <w:p w14:paraId="7A7B3392" w14:textId="0DB54AA6" w:rsidR="00B36736" w:rsidRPr="00B36736" w:rsidRDefault="00B36736" w:rsidP="00602FD0">
      <w:pPr>
        <w:rPr>
          <w:rFonts w:eastAsiaTheme="minorHAnsi"/>
        </w:rPr>
      </w:pPr>
      <w:proofErr w:type="spellStart"/>
      <w:r w:rsidRPr="001C240A">
        <w:rPr>
          <w:rFonts w:eastAsiaTheme="minorHAnsi"/>
        </w:rPr>
        <w:t>Hatzenbuehler</w:t>
      </w:r>
      <w:proofErr w:type="spellEnd"/>
      <w:r w:rsidR="003B3CCB">
        <w:rPr>
          <w:rFonts w:eastAsiaTheme="minorHAnsi"/>
        </w:rPr>
        <w:t>,</w:t>
      </w:r>
      <w:r w:rsidRPr="001C240A">
        <w:rPr>
          <w:rFonts w:eastAsiaTheme="minorHAnsi"/>
        </w:rPr>
        <w:t xml:space="preserve"> M</w:t>
      </w:r>
      <w:r w:rsidR="003B3CCB">
        <w:rPr>
          <w:rFonts w:eastAsiaTheme="minorHAnsi"/>
        </w:rPr>
        <w:t>.</w:t>
      </w:r>
      <w:r w:rsidR="00CF2589">
        <w:rPr>
          <w:rFonts w:eastAsiaTheme="minorHAnsi"/>
        </w:rPr>
        <w:t xml:space="preserve"> </w:t>
      </w:r>
      <w:r w:rsidRPr="001C240A">
        <w:rPr>
          <w:rFonts w:eastAsiaTheme="minorHAnsi"/>
        </w:rPr>
        <w:t>L</w:t>
      </w:r>
      <w:r w:rsidR="003B3CCB">
        <w:rPr>
          <w:rFonts w:eastAsiaTheme="minorHAnsi"/>
        </w:rPr>
        <w:t>.</w:t>
      </w:r>
      <w:r w:rsidRPr="001C240A">
        <w:rPr>
          <w:rFonts w:eastAsiaTheme="minorHAnsi"/>
        </w:rPr>
        <w:t xml:space="preserve">, </w:t>
      </w:r>
      <w:r w:rsidR="009D7D50">
        <w:rPr>
          <w:rFonts w:eastAsiaTheme="minorHAnsi"/>
        </w:rPr>
        <w:t xml:space="preserve">&amp; </w:t>
      </w:r>
      <w:proofErr w:type="spellStart"/>
      <w:r w:rsidRPr="001C240A">
        <w:rPr>
          <w:rFonts w:eastAsiaTheme="minorHAnsi"/>
        </w:rPr>
        <w:t>Pachankis</w:t>
      </w:r>
      <w:proofErr w:type="spellEnd"/>
      <w:r w:rsidR="003B3CCB">
        <w:rPr>
          <w:rFonts w:eastAsiaTheme="minorHAnsi"/>
        </w:rPr>
        <w:t>,</w:t>
      </w:r>
      <w:r w:rsidRPr="001C240A">
        <w:rPr>
          <w:rFonts w:eastAsiaTheme="minorHAnsi"/>
        </w:rPr>
        <w:t xml:space="preserve"> J</w:t>
      </w:r>
      <w:r w:rsidR="003B3CCB">
        <w:rPr>
          <w:rFonts w:eastAsiaTheme="minorHAnsi"/>
        </w:rPr>
        <w:t>.</w:t>
      </w:r>
      <w:r w:rsidR="00CF2589">
        <w:rPr>
          <w:rFonts w:eastAsiaTheme="minorHAnsi"/>
        </w:rPr>
        <w:t xml:space="preserve"> </w:t>
      </w:r>
      <w:r w:rsidRPr="001C240A">
        <w:rPr>
          <w:rFonts w:eastAsiaTheme="minorHAnsi"/>
        </w:rPr>
        <w:t>E.</w:t>
      </w:r>
      <w:r w:rsidR="003B3CCB">
        <w:rPr>
          <w:rFonts w:eastAsiaTheme="minorHAnsi"/>
        </w:rPr>
        <w:t xml:space="preserve"> (2016).</w:t>
      </w:r>
      <w:r w:rsidRPr="001C240A">
        <w:rPr>
          <w:rFonts w:eastAsiaTheme="minorHAnsi"/>
        </w:rPr>
        <w:t xml:space="preserve"> Stigma and minority stress as social determinants of health among lesbian, gay, bisexual, and transgender youth: Research evidence and clinical implications. </w:t>
      </w:r>
      <w:proofErr w:type="spellStart"/>
      <w:r w:rsidRPr="001C240A">
        <w:rPr>
          <w:rFonts w:eastAsiaTheme="minorHAnsi"/>
          <w:i/>
        </w:rPr>
        <w:t>Pediatr</w:t>
      </w:r>
      <w:proofErr w:type="spellEnd"/>
      <w:r w:rsidRPr="001C240A">
        <w:rPr>
          <w:rFonts w:eastAsiaTheme="minorHAnsi"/>
          <w:i/>
        </w:rPr>
        <w:t xml:space="preserve"> </w:t>
      </w:r>
      <w:proofErr w:type="spellStart"/>
      <w:r w:rsidRPr="001C240A">
        <w:rPr>
          <w:rFonts w:eastAsiaTheme="minorHAnsi"/>
          <w:i/>
        </w:rPr>
        <w:t>Clin</w:t>
      </w:r>
      <w:proofErr w:type="spellEnd"/>
      <w:r w:rsidRPr="001C240A">
        <w:rPr>
          <w:rFonts w:eastAsiaTheme="minorHAnsi"/>
          <w:i/>
        </w:rPr>
        <w:t xml:space="preserve"> North Am</w:t>
      </w:r>
      <w:r w:rsidR="003B3CCB">
        <w:rPr>
          <w:rFonts w:eastAsiaTheme="minorHAnsi"/>
        </w:rPr>
        <w:t xml:space="preserve">, 63(6), </w:t>
      </w:r>
      <w:r w:rsidRPr="001C240A">
        <w:rPr>
          <w:rFonts w:eastAsiaTheme="minorHAnsi"/>
        </w:rPr>
        <w:t>985-</w:t>
      </w:r>
      <w:r w:rsidR="003B3CCB">
        <w:rPr>
          <w:rFonts w:eastAsiaTheme="minorHAnsi"/>
        </w:rPr>
        <w:t>9</w:t>
      </w:r>
      <w:r w:rsidRPr="001C240A">
        <w:rPr>
          <w:rFonts w:eastAsiaTheme="minorHAnsi"/>
        </w:rPr>
        <w:t>97.</w:t>
      </w:r>
    </w:p>
    <w:p w14:paraId="0621D6C0" w14:textId="77777777" w:rsidR="00602FD0" w:rsidRDefault="00602FD0" w:rsidP="00602FD0">
      <w:pPr>
        <w:rPr>
          <w:rFonts w:eastAsiaTheme="minorHAnsi"/>
        </w:rPr>
      </w:pPr>
    </w:p>
    <w:p w14:paraId="4991FF68" w14:textId="3676D02F" w:rsidR="00B36736" w:rsidRPr="001C240A" w:rsidRDefault="00602FD0" w:rsidP="00602FD0">
      <w:pPr>
        <w:rPr>
          <w:b/>
          <w:bCs/>
          <w:color w:val="212121"/>
          <w:shd w:val="clear" w:color="auto" w:fill="FFFFFF"/>
        </w:rPr>
      </w:pPr>
      <w:r w:rsidRPr="001C240A">
        <w:rPr>
          <w:rFonts w:eastAsiaTheme="minorHAnsi"/>
        </w:rPr>
        <w:t>Katz-Wise</w:t>
      </w:r>
      <w:r>
        <w:rPr>
          <w:rFonts w:eastAsiaTheme="minorHAnsi"/>
        </w:rPr>
        <w:t>,</w:t>
      </w:r>
      <w:r w:rsidRPr="001C240A">
        <w:rPr>
          <w:rFonts w:eastAsiaTheme="minorHAnsi"/>
        </w:rPr>
        <w:t xml:space="preserve"> S</w:t>
      </w:r>
      <w:r>
        <w:rPr>
          <w:rFonts w:eastAsiaTheme="minorHAnsi"/>
        </w:rPr>
        <w:t xml:space="preserve">. </w:t>
      </w:r>
      <w:r w:rsidRPr="001C240A">
        <w:rPr>
          <w:rFonts w:eastAsiaTheme="minorHAnsi"/>
        </w:rPr>
        <w:t>L</w:t>
      </w:r>
      <w:r>
        <w:rPr>
          <w:rFonts w:eastAsiaTheme="minorHAnsi"/>
        </w:rPr>
        <w:t>.</w:t>
      </w:r>
      <w:r w:rsidRPr="001C240A">
        <w:rPr>
          <w:rFonts w:eastAsiaTheme="minorHAnsi"/>
        </w:rPr>
        <w:t>, Rosario</w:t>
      </w:r>
      <w:r>
        <w:rPr>
          <w:rFonts w:eastAsiaTheme="minorHAnsi"/>
        </w:rPr>
        <w:t>,</w:t>
      </w:r>
      <w:r w:rsidRPr="001C240A">
        <w:rPr>
          <w:rFonts w:eastAsiaTheme="minorHAnsi"/>
        </w:rPr>
        <w:t xml:space="preserve"> M</w:t>
      </w:r>
      <w:r>
        <w:rPr>
          <w:rFonts w:eastAsiaTheme="minorHAnsi"/>
        </w:rPr>
        <w:t>.</w:t>
      </w:r>
      <w:r w:rsidRPr="001C240A">
        <w:rPr>
          <w:rFonts w:eastAsiaTheme="minorHAnsi"/>
        </w:rPr>
        <w:t xml:space="preserve">, </w:t>
      </w:r>
      <w:r w:rsidR="009D7D50">
        <w:rPr>
          <w:rFonts w:eastAsiaTheme="minorHAnsi"/>
        </w:rPr>
        <w:t xml:space="preserve">&amp; </w:t>
      </w:r>
      <w:proofErr w:type="spellStart"/>
      <w:r w:rsidRPr="001C240A">
        <w:rPr>
          <w:rFonts w:eastAsiaTheme="minorHAnsi"/>
        </w:rPr>
        <w:t>Tsappis</w:t>
      </w:r>
      <w:proofErr w:type="spellEnd"/>
      <w:r>
        <w:rPr>
          <w:rFonts w:eastAsiaTheme="minorHAnsi"/>
        </w:rPr>
        <w:t>,</w:t>
      </w:r>
      <w:r w:rsidRPr="001C240A">
        <w:rPr>
          <w:rFonts w:eastAsiaTheme="minorHAnsi"/>
        </w:rPr>
        <w:t xml:space="preserve"> M.</w:t>
      </w:r>
      <w:r>
        <w:rPr>
          <w:rFonts w:eastAsiaTheme="minorHAnsi"/>
        </w:rPr>
        <w:t xml:space="preserve"> (2016).</w:t>
      </w:r>
      <w:r w:rsidRPr="001C240A">
        <w:rPr>
          <w:rFonts w:eastAsiaTheme="minorHAnsi"/>
        </w:rPr>
        <w:t xml:space="preserve"> Lesbian, gay, bisexual, and transgender youth and family acceptance. </w:t>
      </w:r>
      <w:proofErr w:type="spellStart"/>
      <w:r w:rsidRPr="001C240A">
        <w:rPr>
          <w:rFonts w:eastAsiaTheme="minorHAnsi"/>
          <w:i/>
          <w:iCs/>
        </w:rPr>
        <w:t>Pediatr</w:t>
      </w:r>
      <w:proofErr w:type="spellEnd"/>
      <w:r w:rsidRPr="001C240A">
        <w:rPr>
          <w:rFonts w:eastAsiaTheme="minorHAnsi"/>
          <w:i/>
          <w:iCs/>
        </w:rPr>
        <w:t xml:space="preserve"> </w:t>
      </w:r>
      <w:proofErr w:type="spellStart"/>
      <w:r w:rsidRPr="001C240A">
        <w:rPr>
          <w:rFonts w:eastAsiaTheme="minorHAnsi"/>
          <w:i/>
          <w:iCs/>
        </w:rPr>
        <w:t>Clin</w:t>
      </w:r>
      <w:proofErr w:type="spellEnd"/>
      <w:r w:rsidRPr="001C240A">
        <w:rPr>
          <w:rFonts w:eastAsiaTheme="minorHAnsi"/>
          <w:i/>
          <w:iCs/>
        </w:rPr>
        <w:t xml:space="preserve"> North Am</w:t>
      </w:r>
      <w:r>
        <w:rPr>
          <w:rFonts w:eastAsiaTheme="minorHAnsi"/>
          <w:i/>
          <w:iCs/>
        </w:rPr>
        <w:t>,</w:t>
      </w:r>
      <w:r>
        <w:rPr>
          <w:rFonts w:eastAsiaTheme="minorHAnsi"/>
        </w:rPr>
        <w:t xml:space="preserve"> 63(6), </w:t>
      </w:r>
      <w:r w:rsidRPr="001C240A">
        <w:rPr>
          <w:rFonts w:eastAsiaTheme="minorHAnsi"/>
        </w:rPr>
        <w:t>1011-</w:t>
      </w:r>
      <w:r>
        <w:rPr>
          <w:rFonts w:eastAsiaTheme="minorHAnsi"/>
        </w:rPr>
        <w:t>10</w:t>
      </w:r>
      <w:r w:rsidRPr="001C240A">
        <w:rPr>
          <w:rFonts w:eastAsiaTheme="minorHAnsi"/>
        </w:rPr>
        <w:t>25.</w:t>
      </w:r>
    </w:p>
    <w:p w14:paraId="497DDE67" w14:textId="2483725E" w:rsidR="00602FD0" w:rsidRDefault="00602FD0" w:rsidP="00602FD0">
      <w:pPr>
        <w:rPr>
          <w:rFonts w:eastAsiaTheme="minorHAnsi"/>
        </w:rPr>
      </w:pPr>
    </w:p>
    <w:p w14:paraId="61C73E0A" w14:textId="0B266338" w:rsidR="00602FD0" w:rsidRDefault="00602FD0" w:rsidP="00602FD0">
      <w:pPr>
        <w:rPr>
          <w:rFonts w:eastAsiaTheme="minorHAnsi"/>
        </w:rPr>
      </w:pPr>
      <w:r w:rsidRPr="007932A1">
        <w:rPr>
          <w:rFonts w:eastAsiaTheme="minorHAnsi"/>
        </w:rPr>
        <w:t>Kaufman</w:t>
      </w:r>
      <w:r>
        <w:rPr>
          <w:rFonts w:eastAsiaTheme="minorHAnsi"/>
        </w:rPr>
        <w:t>,</w:t>
      </w:r>
      <w:r w:rsidRPr="007932A1">
        <w:rPr>
          <w:rFonts w:eastAsiaTheme="minorHAnsi"/>
        </w:rPr>
        <w:t xml:space="preserve"> J</w:t>
      </w:r>
      <w:r>
        <w:rPr>
          <w:rFonts w:eastAsiaTheme="minorHAnsi"/>
        </w:rPr>
        <w:t>.</w:t>
      </w:r>
      <w:r w:rsidRPr="007932A1">
        <w:rPr>
          <w:rFonts w:eastAsiaTheme="minorHAnsi"/>
        </w:rPr>
        <w:t xml:space="preserve">, </w:t>
      </w:r>
      <w:proofErr w:type="spellStart"/>
      <w:r w:rsidRPr="007932A1">
        <w:rPr>
          <w:rFonts w:eastAsiaTheme="minorHAnsi"/>
        </w:rPr>
        <w:t>Birmaher</w:t>
      </w:r>
      <w:proofErr w:type="spellEnd"/>
      <w:r>
        <w:rPr>
          <w:rFonts w:eastAsiaTheme="minorHAnsi"/>
        </w:rPr>
        <w:t>,</w:t>
      </w:r>
      <w:r w:rsidRPr="007932A1">
        <w:rPr>
          <w:rFonts w:eastAsiaTheme="minorHAnsi"/>
        </w:rPr>
        <w:t xml:space="preserve"> B</w:t>
      </w:r>
      <w:r>
        <w:rPr>
          <w:rFonts w:eastAsiaTheme="minorHAnsi"/>
        </w:rPr>
        <w:t>.</w:t>
      </w:r>
      <w:r w:rsidRPr="007932A1">
        <w:rPr>
          <w:rFonts w:eastAsiaTheme="minorHAnsi"/>
        </w:rPr>
        <w:t>, Brent</w:t>
      </w:r>
      <w:r>
        <w:rPr>
          <w:rFonts w:eastAsiaTheme="minorHAnsi"/>
        </w:rPr>
        <w:t>,</w:t>
      </w:r>
      <w:r w:rsidRPr="007932A1">
        <w:rPr>
          <w:rFonts w:eastAsiaTheme="minorHAnsi"/>
        </w:rPr>
        <w:t xml:space="preserve"> D</w:t>
      </w:r>
      <w:r>
        <w:rPr>
          <w:rFonts w:eastAsiaTheme="minorHAnsi"/>
        </w:rPr>
        <w:t>.</w:t>
      </w:r>
      <w:r w:rsidRPr="007932A1">
        <w:rPr>
          <w:rFonts w:eastAsiaTheme="minorHAnsi"/>
        </w:rPr>
        <w:t>,</w:t>
      </w:r>
      <w:r>
        <w:rPr>
          <w:rFonts w:eastAsiaTheme="minorHAnsi"/>
        </w:rPr>
        <w:t xml:space="preserve"> Rao, U., Flynn, C., </w:t>
      </w:r>
      <w:proofErr w:type="spellStart"/>
      <w:r>
        <w:rPr>
          <w:rFonts w:eastAsiaTheme="minorHAnsi"/>
        </w:rPr>
        <w:t>Moreci</w:t>
      </w:r>
      <w:proofErr w:type="spellEnd"/>
      <w:r>
        <w:rPr>
          <w:rFonts w:eastAsiaTheme="minorHAnsi"/>
        </w:rPr>
        <w:t>, P.,</w:t>
      </w:r>
      <w:r w:rsidR="009D7D50">
        <w:rPr>
          <w:rFonts w:eastAsiaTheme="minorHAnsi"/>
        </w:rPr>
        <w:t xml:space="preserve"> Williamson, D., &amp; Ryan, N. </w:t>
      </w:r>
      <w:r>
        <w:rPr>
          <w:rFonts w:eastAsiaTheme="minorHAnsi"/>
        </w:rPr>
        <w:t xml:space="preserve">(1997). </w:t>
      </w:r>
      <w:r w:rsidRPr="007932A1">
        <w:rPr>
          <w:rFonts w:eastAsiaTheme="minorHAnsi"/>
        </w:rPr>
        <w:t xml:space="preserve">Schedule for affective disorders and schizophrenia for school-age children - present and lifetime version (K-SADS-PL): initial reliability and validity data. </w:t>
      </w:r>
      <w:r w:rsidRPr="007932A1">
        <w:rPr>
          <w:rFonts w:eastAsiaTheme="minorHAnsi"/>
          <w:i/>
        </w:rPr>
        <w:t xml:space="preserve">J Am </w:t>
      </w:r>
      <w:proofErr w:type="spellStart"/>
      <w:r w:rsidRPr="007932A1">
        <w:rPr>
          <w:rFonts w:eastAsiaTheme="minorHAnsi"/>
          <w:i/>
        </w:rPr>
        <w:t>Acad</w:t>
      </w:r>
      <w:proofErr w:type="spellEnd"/>
      <w:r w:rsidRPr="007932A1">
        <w:rPr>
          <w:rFonts w:eastAsiaTheme="minorHAnsi"/>
          <w:i/>
        </w:rPr>
        <w:t xml:space="preserve"> Child </w:t>
      </w:r>
      <w:proofErr w:type="spellStart"/>
      <w:r w:rsidRPr="007932A1">
        <w:rPr>
          <w:rFonts w:eastAsiaTheme="minorHAnsi"/>
          <w:i/>
        </w:rPr>
        <w:t>Adolesc</w:t>
      </w:r>
      <w:proofErr w:type="spellEnd"/>
      <w:r w:rsidRPr="007932A1">
        <w:rPr>
          <w:rFonts w:eastAsiaTheme="minorHAnsi"/>
          <w:i/>
        </w:rPr>
        <w:t xml:space="preserve"> Psychiatry</w:t>
      </w:r>
      <w:r>
        <w:rPr>
          <w:rFonts w:eastAsiaTheme="minorHAnsi"/>
          <w:i/>
        </w:rPr>
        <w:t>.</w:t>
      </w:r>
      <w:r>
        <w:rPr>
          <w:rFonts w:eastAsiaTheme="minorHAnsi"/>
        </w:rPr>
        <w:t xml:space="preserve"> 36(7), </w:t>
      </w:r>
      <w:r w:rsidRPr="007932A1">
        <w:rPr>
          <w:rFonts w:eastAsiaTheme="minorHAnsi"/>
        </w:rPr>
        <w:t>980-</w:t>
      </w:r>
      <w:r>
        <w:rPr>
          <w:rFonts w:eastAsiaTheme="minorHAnsi"/>
        </w:rPr>
        <w:t>9</w:t>
      </w:r>
      <w:r w:rsidRPr="007932A1">
        <w:rPr>
          <w:rFonts w:eastAsiaTheme="minorHAnsi"/>
        </w:rPr>
        <w:t>88.</w:t>
      </w:r>
    </w:p>
    <w:p w14:paraId="365FF48C" w14:textId="77777777" w:rsidR="00602FD0" w:rsidRDefault="00602FD0" w:rsidP="00602FD0">
      <w:pPr>
        <w:rPr>
          <w:rFonts w:eastAsiaTheme="minorHAnsi"/>
        </w:rPr>
      </w:pPr>
    </w:p>
    <w:p w14:paraId="250B5FD6" w14:textId="0F2E171A" w:rsidR="00602FD0" w:rsidRDefault="00602FD0" w:rsidP="00602FD0">
      <w:pPr>
        <w:rPr>
          <w:rFonts w:eastAsiaTheme="minorHAnsi"/>
        </w:rPr>
      </w:pPr>
      <w:r w:rsidRPr="001C240A">
        <w:rPr>
          <w:rFonts w:eastAsiaTheme="minorHAnsi"/>
        </w:rPr>
        <w:t>McConnell</w:t>
      </w:r>
      <w:r>
        <w:rPr>
          <w:rFonts w:eastAsiaTheme="minorHAnsi"/>
        </w:rPr>
        <w:t>,</w:t>
      </w:r>
      <w:r w:rsidRPr="001C240A">
        <w:rPr>
          <w:rFonts w:eastAsiaTheme="minorHAnsi"/>
        </w:rPr>
        <w:t xml:space="preserve"> E</w:t>
      </w:r>
      <w:r>
        <w:rPr>
          <w:rFonts w:eastAsiaTheme="minorHAnsi"/>
        </w:rPr>
        <w:t xml:space="preserve">. </w:t>
      </w:r>
      <w:r w:rsidRPr="001C240A">
        <w:rPr>
          <w:rFonts w:eastAsiaTheme="minorHAnsi"/>
        </w:rPr>
        <w:t>A</w:t>
      </w:r>
      <w:r>
        <w:rPr>
          <w:rFonts w:eastAsiaTheme="minorHAnsi"/>
        </w:rPr>
        <w:t>.</w:t>
      </w:r>
      <w:r w:rsidRPr="001C240A">
        <w:rPr>
          <w:rFonts w:eastAsiaTheme="minorHAnsi"/>
        </w:rPr>
        <w:t>, Birkett</w:t>
      </w:r>
      <w:r>
        <w:rPr>
          <w:rFonts w:eastAsiaTheme="minorHAnsi"/>
        </w:rPr>
        <w:t>,</w:t>
      </w:r>
      <w:r w:rsidRPr="001C240A">
        <w:rPr>
          <w:rFonts w:eastAsiaTheme="minorHAnsi"/>
        </w:rPr>
        <w:t xml:space="preserve"> M</w:t>
      </w:r>
      <w:r>
        <w:rPr>
          <w:rFonts w:eastAsiaTheme="minorHAnsi"/>
        </w:rPr>
        <w:t>.</w:t>
      </w:r>
      <w:r w:rsidRPr="001C240A">
        <w:rPr>
          <w:rFonts w:eastAsiaTheme="minorHAnsi"/>
        </w:rPr>
        <w:t xml:space="preserve">, </w:t>
      </w:r>
      <w:r w:rsidR="009D7D50">
        <w:rPr>
          <w:rFonts w:eastAsiaTheme="minorHAnsi"/>
        </w:rPr>
        <w:t xml:space="preserve">&amp; </w:t>
      </w:r>
      <w:proofErr w:type="spellStart"/>
      <w:r w:rsidRPr="001C240A">
        <w:rPr>
          <w:rFonts w:eastAsiaTheme="minorHAnsi"/>
        </w:rPr>
        <w:t>Mustanski</w:t>
      </w:r>
      <w:proofErr w:type="spellEnd"/>
      <w:r>
        <w:rPr>
          <w:rFonts w:eastAsiaTheme="minorHAnsi"/>
        </w:rPr>
        <w:t>,</w:t>
      </w:r>
      <w:r w:rsidRPr="001C240A">
        <w:rPr>
          <w:rFonts w:eastAsiaTheme="minorHAnsi"/>
        </w:rPr>
        <w:t xml:space="preserve"> B. </w:t>
      </w:r>
      <w:r>
        <w:rPr>
          <w:rFonts w:eastAsiaTheme="minorHAnsi"/>
        </w:rPr>
        <w:t>(2016)</w:t>
      </w:r>
      <w:r w:rsidR="009A0401">
        <w:rPr>
          <w:rFonts w:eastAsiaTheme="minorHAnsi"/>
        </w:rPr>
        <w:t>.</w:t>
      </w:r>
      <w:r>
        <w:rPr>
          <w:rFonts w:eastAsiaTheme="minorHAnsi"/>
        </w:rPr>
        <w:t xml:space="preserve"> </w:t>
      </w:r>
      <w:r w:rsidRPr="001C240A">
        <w:rPr>
          <w:rFonts w:eastAsiaTheme="minorHAnsi"/>
        </w:rPr>
        <w:t xml:space="preserve">Families matter: Social support and mental health trajectories among lesbian, gay, bisexual, and transgender youth. </w:t>
      </w:r>
      <w:r w:rsidRPr="001C240A">
        <w:rPr>
          <w:rFonts w:eastAsiaTheme="minorHAnsi"/>
          <w:i/>
        </w:rPr>
        <w:t xml:space="preserve">J </w:t>
      </w:r>
      <w:proofErr w:type="spellStart"/>
      <w:r w:rsidRPr="001C240A">
        <w:rPr>
          <w:rFonts w:eastAsiaTheme="minorHAnsi"/>
          <w:i/>
        </w:rPr>
        <w:t>Adolesc</w:t>
      </w:r>
      <w:proofErr w:type="spellEnd"/>
      <w:r w:rsidRPr="001C240A">
        <w:rPr>
          <w:rFonts w:eastAsiaTheme="minorHAnsi"/>
          <w:i/>
        </w:rPr>
        <w:t xml:space="preserve"> Health</w:t>
      </w:r>
      <w:r>
        <w:rPr>
          <w:rFonts w:eastAsiaTheme="minorHAnsi"/>
        </w:rPr>
        <w:t xml:space="preserve">, 59(6), </w:t>
      </w:r>
      <w:r w:rsidRPr="001C240A">
        <w:rPr>
          <w:rFonts w:eastAsiaTheme="minorHAnsi"/>
        </w:rPr>
        <w:t>674-</w:t>
      </w:r>
      <w:r>
        <w:rPr>
          <w:rFonts w:eastAsiaTheme="minorHAnsi"/>
        </w:rPr>
        <w:t>6</w:t>
      </w:r>
      <w:r w:rsidRPr="001C240A">
        <w:rPr>
          <w:rFonts w:eastAsiaTheme="minorHAnsi"/>
        </w:rPr>
        <w:t>80.</w:t>
      </w:r>
    </w:p>
    <w:p w14:paraId="004F7EE8" w14:textId="77777777" w:rsidR="00602FD0" w:rsidRDefault="00602FD0" w:rsidP="00602FD0">
      <w:pPr>
        <w:rPr>
          <w:rFonts w:eastAsiaTheme="minorHAnsi"/>
        </w:rPr>
      </w:pPr>
    </w:p>
    <w:p w14:paraId="154C435A" w14:textId="4C1C7FCD" w:rsidR="008E6B2B" w:rsidRPr="001C240A" w:rsidRDefault="00937592" w:rsidP="00602FD0">
      <w:pPr>
        <w:rPr>
          <w:rFonts w:eastAsiaTheme="minorHAnsi"/>
        </w:rPr>
      </w:pPr>
      <w:r w:rsidRPr="00937592">
        <w:rPr>
          <w:rFonts w:eastAsiaTheme="minorHAnsi"/>
        </w:rPr>
        <w:lastRenderedPageBreak/>
        <w:t>Mills-Koonce</w:t>
      </w:r>
      <w:r w:rsidR="003B3CCB">
        <w:rPr>
          <w:rFonts w:eastAsiaTheme="minorHAnsi"/>
        </w:rPr>
        <w:t>,</w:t>
      </w:r>
      <w:r w:rsidRPr="00937592">
        <w:rPr>
          <w:rFonts w:eastAsiaTheme="minorHAnsi"/>
        </w:rPr>
        <w:t xml:space="preserve"> </w:t>
      </w:r>
      <w:r>
        <w:rPr>
          <w:rFonts w:eastAsiaTheme="minorHAnsi"/>
        </w:rPr>
        <w:t>W</w:t>
      </w:r>
      <w:r w:rsidR="003B3CCB">
        <w:rPr>
          <w:rFonts w:eastAsiaTheme="minorHAnsi"/>
        </w:rPr>
        <w:t>.</w:t>
      </w:r>
      <w:r w:rsidR="00CF2589">
        <w:rPr>
          <w:rFonts w:eastAsiaTheme="minorHAnsi"/>
        </w:rPr>
        <w:t xml:space="preserve"> </w:t>
      </w:r>
      <w:r>
        <w:rPr>
          <w:rFonts w:eastAsiaTheme="minorHAnsi"/>
        </w:rPr>
        <w:t>R</w:t>
      </w:r>
      <w:r w:rsidR="003B3CCB">
        <w:rPr>
          <w:rFonts w:eastAsiaTheme="minorHAnsi"/>
        </w:rPr>
        <w:t>.</w:t>
      </w:r>
      <w:r>
        <w:rPr>
          <w:rFonts w:eastAsiaTheme="minorHAnsi"/>
        </w:rPr>
        <w:t xml:space="preserve">, </w:t>
      </w:r>
      <w:proofErr w:type="spellStart"/>
      <w:r>
        <w:rPr>
          <w:rFonts w:eastAsiaTheme="minorHAnsi"/>
        </w:rPr>
        <w:t>Rehder</w:t>
      </w:r>
      <w:proofErr w:type="spellEnd"/>
      <w:r w:rsidR="003B3CCB">
        <w:rPr>
          <w:rFonts w:eastAsiaTheme="minorHAnsi"/>
        </w:rPr>
        <w:t>,</w:t>
      </w:r>
      <w:r>
        <w:rPr>
          <w:rFonts w:eastAsiaTheme="minorHAnsi"/>
        </w:rPr>
        <w:t xml:space="preserve"> P</w:t>
      </w:r>
      <w:r w:rsidR="003B3CCB">
        <w:rPr>
          <w:rFonts w:eastAsiaTheme="minorHAnsi"/>
        </w:rPr>
        <w:t>.</w:t>
      </w:r>
      <w:r w:rsidR="00CF2589">
        <w:rPr>
          <w:rFonts w:eastAsiaTheme="minorHAnsi"/>
        </w:rPr>
        <w:t xml:space="preserve"> </w:t>
      </w:r>
      <w:r>
        <w:rPr>
          <w:rFonts w:eastAsiaTheme="minorHAnsi"/>
        </w:rPr>
        <w:t>D</w:t>
      </w:r>
      <w:r w:rsidR="003B3CCB">
        <w:rPr>
          <w:rFonts w:eastAsiaTheme="minorHAnsi"/>
        </w:rPr>
        <w:t>.</w:t>
      </w:r>
      <w:r>
        <w:rPr>
          <w:rFonts w:eastAsiaTheme="minorHAnsi"/>
        </w:rPr>
        <w:t xml:space="preserve">, </w:t>
      </w:r>
      <w:r w:rsidR="009D7D50">
        <w:rPr>
          <w:rFonts w:eastAsiaTheme="minorHAnsi"/>
        </w:rPr>
        <w:t xml:space="preserve">&amp; </w:t>
      </w:r>
      <w:r>
        <w:rPr>
          <w:rFonts w:eastAsiaTheme="minorHAnsi"/>
        </w:rPr>
        <w:t>McCurdy</w:t>
      </w:r>
      <w:r w:rsidR="003B3CCB">
        <w:rPr>
          <w:rFonts w:eastAsiaTheme="minorHAnsi"/>
        </w:rPr>
        <w:t>,</w:t>
      </w:r>
      <w:r>
        <w:rPr>
          <w:rFonts w:eastAsiaTheme="minorHAnsi"/>
        </w:rPr>
        <w:t xml:space="preserve"> A</w:t>
      </w:r>
      <w:r w:rsidR="003B3CCB">
        <w:rPr>
          <w:rFonts w:eastAsiaTheme="minorHAnsi"/>
        </w:rPr>
        <w:t>.</w:t>
      </w:r>
      <w:r w:rsidR="00CF2589">
        <w:rPr>
          <w:rFonts w:eastAsiaTheme="minorHAnsi"/>
        </w:rPr>
        <w:t xml:space="preserve"> </w:t>
      </w:r>
      <w:r>
        <w:rPr>
          <w:rFonts w:eastAsiaTheme="minorHAnsi"/>
        </w:rPr>
        <w:t>L.</w:t>
      </w:r>
      <w:r w:rsidR="003B3CCB">
        <w:rPr>
          <w:rFonts w:eastAsiaTheme="minorHAnsi"/>
        </w:rPr>
        <w:t xml:space="preserve"> (2018)</w:t>
      </w:r>
      <w:r w:rsidR="004A2305">
        <w:rPr>
          <w:rFonts w:eastAsiaTheme="minorHAnsi"/>
        </w:rPr>
        <w:t>.</w:t>
      </w:r>
      <w:r>
        <w:rPr>
          <w:rFonts w:eastAsiaTheme="minorHAnsi"/>
        </w:rPr>
        <w:t xml:space="preserve"> The significance of parenting and parent-child relationships for sexual and gender minority a</w:t>
      </w:r>
      <w:r w:rsidRPr="00937592">
        <w:rPr>
          <w:rFonts w:eastAsiaTheme="minorHAnsi"/>
        </w:rPr>
        <w:t>dol</w:t>
      </w:r>
      <w:r>
        <w:rPr>
          <w:rFonts w:eastAsiaTheme="minorHAnsi"/>
        </w:rPr>
        <w:t xml:space="preserve">escents. </w:t>
      </w:r>
      <w:r w:rsidRPr="00937592">
        <w:rPr>
          <w:rFonts w:eastAsiaTheme="minorHAnsi"/>
          <w:i/>
        </w:rPr>
        <w:t xml:space="preserve">J Res </w:t>
      </w:r>
      <w:proofErr w:type="spellStart"/>
      <w:r w:rsidRPr="00937592">
        <w:rPr>
          <w:rFonts w:eastAsiaTheme="minorHAnsi"/>
          <w:i/>
        </w:rPr>
        <w:t>Adolesc</w:t>
      </w:r>
      <w:proofErr w:type="spellEnd"/>
      <w:r w:rsidR="003B3CCB">
        <w:rPr>
          <w:rFonts w:eastAsiaTheme="minorHAnsi"/>
        </w:rPr>
        <w:t xml:space="preserve">, 28(3), </w:t>
      </w:r>
      <w:r>
        <w:rPr>
          <w:rFonts w:eastAsiaTheme="minorHAnsi"/>
        </w:rPr>
        <w:t>637-</w:t>
      </w:r>
      <w:r w:rsidR="003B3CCB">
        <w:rPr>
          <w:rFonts w:eastAsiaTheme="minorHAnsi"/>
        </w:rPr>
        <w:t>6</w:t>
      </w:r>
      <w:r w:rsidRPr="00937592">
        <w:rPr>
          <w:rFonts w:eastAsiaTheme="minorHAnsi"/>
        </w:rPr>
        <w:t>49</w:t>
      </w:r>
      <w:r>
        <w:rPr>
          <w:rFonts w:eastAsiaTheme="minorHAnsi"/>
        </w:rPr>
        <w:t>.</w:t>
      </w:r>
    </w:p>
    <w:p w14:paraId="74935F12" w14:textId="77777777" w:rsidR="00602FD0" w:rsidRDefault="00602FD0" w:rsidP="00602FD0">
      <w:pPr>
        <w:pStyle w:val="NoSpacing"/>
        <w:rPr>
          <w:rFonts w:eastAsiaTheme="minorHAnsi"/>
        </w:rPr>
      </w:pPr>
    </w:p>
    <w:p w14:paraId="0E12764D" w14:textId="2E82E673" w:rsidR="00602FD0" w:rsidRDefault="00602FD0" w:rsidP="00602FD0">
      <w:pPr>
        <w:pStyle w:val="NoSpacing"/>
        <w:rPr>
          <w:rFonts w:eastAsiaTheme="minorHAnsi"/>
        </w:rPr>
      </w:pPr>
      <w:r w:rsidRPr="001C240A">
        <w:rPr>
          <w:rFonts w:eastAsiaTheme="minorHAnsi"/>
        </w:rPr>
        <w:t>Olson</w:t>
      </w:r>
      <w:r>
        <w:rPr>
          <w:rFonts w:eastAsiaTheme="minorHAnsi"/>
        </w:rPr>
        <w:t>,</w:t>
      </w:r>
      <w:r w:rsidRPr="001C240A">
        <w:rPr>
          <w:rFonts w:eastAsiaTheme="minorHAnsi"/>
        </w:rPr>
        <w:t xml:space="preserve"> K</w:t>
      </w:r>
      <w:r>
        <w:rPr>
          <w:rFonts w:eastAsiaTheme="minorHAnsi"/>
        </w:rPr>
        <w:t xml:space="preserve">. </w:t>
      </w:r>
      <w:r w:rsidRPr="001C240A">
        <w:rPr>
          <w:rFonts w:eastAsiaTheme="minorHAnsi"/>
        </w:rPr>
        <w:t>R</w:t>
      </w:r>
      <w:r>
        <w:rPr>
          <w:rFonts w:eastAsiaTheme="minorHAnsi"/>
        </w:rPr>
        <w:t>.</w:t>
      </w:r>
      <w:r w:rsidRPr="001C240A">
        <w:rPr>
          <w:rFonts w:eastAsiaTheme="minorHAnsi"/>
        </w:rPr>
        <w:t xml:space="preserve">, </w:t>
      </w:r>
      <w:proofErr w:type="spellStart"/>
      <w:r w:rsidRPr="001C240A">
        <w:rPr>
          <w:rFonts w:eastAsiaTheme="minorHAnsi"/>
        </w:rPr>
        <w:t>Durwood</w:t>
      </w:r>
      <w:proofErr w:type="spellEnd"/>
      <w:r>
        <w:rPr>
          <w:rFonts w:eastAsiaTheme="minorHAnsi"/>
        </w:rPr>
        <w:t>,</w:t>
      </w:r>
      <w:r w:rsidRPr="001C240A">
        <w:rPr>
          <w:rFonts w:eastAsiaTheme="minorHAnsi"/>
        </w:rPr>
        <w:t xml:space="preserve"> L</w:t>
      </w:r>
      <w:r>
        <w:rPr>
          <w:rFonts w:eastAsiaTheme="minorHAnsi"/>
        </w:rPr>
        <w:t>.</w:t>
      </w:r>
      <w:r w:rsidRPr="001C240A">
        <w:rPr>
          <w:rFonts w:eastAsiaTheme="minorHAnsi"/>
        </w:rPr>
        <w:t xml:space="preserve">, </w:t>
      </w:r>
      <w:proofErr w:type="spellStart"/>
      <w:r w:rsidRPr="001C240A">
        <w:rPr>
          <w:rFonts w:eastAsiaTheme="minorHAnsi"/>
        </w:rPr>
        <w:t>DeMeules</w:t>
      </w:r>
      <w:proofErr w:type="spellEnd"/>
      <w:r>
        <w:rPr>
          <w:rFonts w:eastAsiaTheme="minorHAnsi"/>
        </w:rPr>
        <w:t>,</w:t>
      </w:r>
      <w:r w:rsidRPr="001C240A">
        <w:rPr>
          <w:rFonts w:eastAsiaTheme="minorHAnsi"/>
        </w:rPr>
        <w:t xml:space="preserve"> M</w:t>
      </w:r>
      <w:r>
        <w:rPr>
          <w:rFonts w:eastAsiaTheme="minorHAnsi"/>
        </w:rPr>
        <w:t>.</w:t>
      </w:r>
      <w:r w:rsidRPr="001C240A">
        <w:rPr>
          <w:rFonts w:eastAsiaTheme="minorHAnsi"/>
        </w:rPr>
        <w:t xml:space="preserve">, </w:t>
      </w:r>
      <w:r w:rsidR="009D7D50">
        <w:rPr>
          <w:rFonts w:eastAsiaTheme="minorHAnsi"/>
        </w:rPr>
        <w:t xml:space="preserve">&amp; </w:t>
      </w:r>
      <w:r w:rsidRPr="001C240A">
        <w:rPr>
          <w:rFonts w:eastAsiaTheme="minorHAnsi"/>
        </w:rPr>
        <w:t>McLaughlin</w:t>
      </w:r>
      <w:r>
        <w:rPr>
          <w:rFonts w:eastAsiaTheme="minorHAnsi"/>
        </w:rPr>
        <w:t>,</w:t>
      </w:r>
      <w:r w:rsidRPr="001C240A">
        <w:rPr>
          <w:rFonts w:eastAsiaTheme="minorHAnsi"/>
        </w:rPr>
        <w:t xml:space="preserve"> K</w:t>
      </w:r>
      <w:r>
        <w:rPr>
          <w:rFonts w:eastAsiaTheme="minorHAnsi"/>
        </w:rPr>
        <w:t xml:space="preserve">. </w:t>
      </w:r>
      <w:r w:rsidRPr="001C240A">
        <w:rPr>
          <w:rFonts w:eastAsiaTheme="minorHAnsi"/>
        </w:rPr>
        <w:t>A.</w:t>
      </w:r>
      <w:r>
        <w:rPr>
          <w:rFonts w:eastAsiaTheme="minorHAnsi"/>
        </w:rPr>
        <w:t xml:space="preserve"> (2016).</w:t>
      </w:r>
      <w:r w:rsidRPr="001C240A">
        <w:rPr>
          <w:rFonts w:eastAsiaTheme="minorHAnsi"/>
        </w:rPr>
        <w:t xml:space="preserve"> Mental health of transgender children who are supported in their identities. </w:t>
      </w:r>
      <w:r w:rsidRPr="001C240A">
        <w:rPr>
          <w:rFonts w:eastAsiaTheme="minorHAnsi"/>
          <w:i/>
        </w:rPr>
        <w:t>Pediatrics</w:t>
      </w:r>
      <w:r>
        <w:rPr>
          <w:rFonts w:eastAsiaTheme="minorHAnsi"/>
        </w:rPr>
        <w:t xml:space="preserve">, 137(3), </w:t>
      </w:r>
      <w:r w:rsidRPr="001C240A">
        <w:rPr>
          <w:rFonts w:eastAsiaTheme="minorHAnsi"/>
        </w:rPr>
        <w:t>e20153223. </w:t>
      </w:r>
    </w:p>
    <w:p w14:paraId="2938AF4F" w14:textId="77777777" w:rsidR="00602FD0" w:rsidRDefault="00602FD0" w:rsidP="00602FD0">
      <w:pPr>
        <w:rPr>
          <w:b/>
          <w:bCs/>
          <w:color w:val="212121"/>
          <w:shd w:val="clear" w:color="auto" w:fill="FFFFFF"/>
        </w:rPr>
      </w:pPr>
    </w:p>
    <w:p w14:paraId="3EA8F89C" w14:textId="7DC85FA8" w:rsidR="009C130D" w:rsidRDefault="001A37E7" w:rsidP="00602FD0">
      <w:pPr>
        <w:rPr>
          <w:rFonts w:eastAsiaTheme="minorHAnsi"/>
        </w:rPr>
      </w:pPr>
      <w:r w:rsidRPr="001C240A">
        <w:rPr>
          <w:rFonts w:eastAsiaTheme="minorHAnsi"/>
        </w:rPr>
        <w:t>Ryan</w:t>
      </w:r>
      <w:r w:rsidR="004A2305">
        <w:rPr>
          <w:rFonts w:eastAsiaTheme="minorHAnsi"/>
        </w:rPr>
        <w:t>,</w:t>
      </w:r>
      <w:r w:rsidRPr="001C240A">
        <w:rPr>
          <w:rFonts w:eastAsiaTheme="minorHAnsi"/>
        </w:rPr>
        <w:t xml:space="preserve"> C</w:t>
      </w:r>
      <w:r w:rsidR="004A2305">
        <w:rPr>
          <w:rFonts w:eastAsiaTheme="minorHAnsi"/>
        </w:rPr>
        <w:t>.</w:t>
      </w:r>
      <w:r w:rsidRPr="001C240A">
        <w:rPr>
          <w:rFonts w:eastAsiaTheme="minorHAnsi"/>
        </w:rPr>
        <w:t>, Huebner</w:t>
      </w:r>
      <w:r w:rsidR="004A2305">
        <w:rPr>
          <w:rFonts w:eastAsiaTheme="minorHAnsi"/>
        </w:rPr>
        <w:t>,</w:t>
      </w:r>
      <w:r w:rsidRPr="001C240A">
        <w:rPr>
          <w:rFonts w:eastAsiaTheme="minorHAnsi"/>
        </w:rPr>
        <w:t xml:space="preserve"> D</w:t>
      </w:r>
      <w:r w:rsidR="004A2305">
        <w:rPr>
          <w:rFonts w:eastAsiaTheme="minorHAnsi"/>
        </w:rPr>
        <w:t>.</w:t>
      </w:r>
      <w:r w:rsidRPr="001C240A">
        <w:rPr>
          <w:rFonts w:eastAsiaTheme="minorHAnsi"/>
        </w:rPr>
        <w:t>, Diaz</w:t>
      </w:r>
      <w:r w:rsidR="004A2305">
        <w:rPr>
          <w:rFonts w:eastAsiaTheme="minorHAnsi"/>
        </w:rPr>
        <w:t>,</w:t>
      </w:r>
      <w:r w:rsidRPr="001C240A">
        <w:rPr>
          <w:rFonts w:eastAsiaTheme="minorHAnsi"/>
        </w:rPr>
        <w:t xml:space="preserve"> R</w:t>
      </w:r>
      <w:r w:rsidR="004A2305">
        <w:rPr>
          <w:rFonts w:eastAsiaTheme="minorHAnsi"/>
        </w:rPr>
        <w:t>.</w:t>
      </w:r>
      <w:r w:rsidR="00CF2589">
        <w:rPr>
          <w:rFonts w:eastAsiaTheme="minorHAnsi"/>
        </w:rPr>
        <w:t xml:space="preserve"> </w:t>
      </w:r>
      <w:r w:rsidRPr="001C240A">
        <w:rPr>
          <w:rFonts w:eastAsiaTheme="minorHAnsi"/>
        </w:rPr>
        <w:t>M</w:t>
      </w:r>
      <w:r w:rsidR="004A2305">
        <w:rPr>
          <w:rFonts w:eastAsiaTheme="minorHAnsi"/>
        </w:rPr>
        <w:t>.</w:t>
      </w:r>
      <w:r w:rsidRPr="001C240A">
        <w:rPr>
          <w:rFonts w:eastAsiaTheme="minorHAnsi"/>
        </w:rPr>
        <w:t xml:space="preserve">, </w:t>
      </w:r>
      <w:r w:rsidR="009D7D50">
        <w:rPr>
          <w:rFonts w:eastAsiaTheme="minorHAnsi"/>
        </w:rPr>
        <w:t xml:space="preserve">&amp; </w:t>
      </w:r>
      <w:r w:rsidRPr="001C240A">
        <w:rPr>
          <w:rFonts w:eastAsiaTheme="minorHAnsi"/>
        </w:rPr>
        <w:t>Sanchez</w:t>
      </w:r>
      <w:r w:rsidR="004A2305">
        <w:rPr>
          <w:rFonts w:eastAsiaTheme="minorHAnsi"/>
        </w:rPr>
        <w:t>,</w:t>
      </w:r>
      <w:r w:rsidRPr="001C240A">
        <w:rPr>
          <w:rFonts w:eastAsiaTheme="minorHAnsi"/>
        </w:rPr>
        <w:t xml:space="preserve"> J.</w:t>
      </w:r>
      <w:r w:rsidR="004A2305">
        <w:rPr>
          <w:rFonts w:eastAsiaTheme="minorHAnsi"/>
        </w:rPr>
        <w:t xml:space="preserve"> (2009).</w:t>
      </w:r>
      <w:r w:rsidRPr="001C240A">
        <w:rPr>
          <w:rFonts w:eastAsiaTheme="minorHAnsi"/>
        </w:rPr>
        <w:t xml:space="preserve"> Family rejection as a predictor of negative health outcomes in white and Latino lesbian, gay, and bisexual young adults. </w:t>
      </w:r>
      <w:r w:rsidR="004A2305">
        <w:rPr>
          <w:rFonts w:eastAsiaTheme="minorHAnsi"/>
          <w:i/>
        </w:rPr>
        <w:t xml:space="preserve">Pediatrics, </w:t>
      </w:r>
      <w:r w:rsidR="004A2305">
        <w:rPr>
          <w:rFonts w:eastAsiaTheme="minorHAnsi"/>
        </w:rPr>
        <w:t xml:space="preserve">123(1), </w:t>
      </w:r>
      <w:r w:rsidRPr="001C240A">
        <w:rPr>
          <w:rFonts w:eastAsiaTheme="minorHAnsi"/>
        </w:rPr>
        <w:t>346-</w:t>
      </w:r>
      <w:r w:rsidR="004A2305">
        <w:rPr>
          <w:rFonts w:eastAsiaTheme="minorHAnsi"/>
        </w:rPr>
        <w:t>3</w:t>
      </w:r>
      <w:r w:rsidRPr="001C240A">
        <w:rPr>
          <w:rFonts w:eastAsiaTheme="minorHAnsi"/>
        </w:rPr>
        <w:t>52.</w:t>
      </w:r>
    </w:p>
    <w:p w14:paraId="504EF7A0" w14:textId="34F9B851" w:rsidR="00602FD0" w:rsidRDefault="00602FD0" w:rsidP="00602FD0">
      <w:pPr>
        <w:pStyle w:val="NoSpacing"/>
        <w:rPr>
          <w:rFonts w:eastAsiaTheme="minorHAnsi"/>
        </w:rPr>
      </w:pPr>
    </w:p>
    <w:p w14:paraId="70F0F077" w14:textId="39BD5FAF" w:rsidR="00602FD0" w:rsidRPr="00BD2E9F" w:rsidRDefault="00602FD0" w:rsidP="00602FD0">
      <w:pPr>
        <w:rPr>
          <w:rFonts w:eastAsiaTheme="minorHAnsi"/>
          <w:color w:val="000000"/>
        </w:rPr>
      </w:pPr>
      <w:r w:rsidRPr="00BD2E9F">
        <w:rPr>
          <w:rFonts w:eastAsiaTheme="minorHAnsi"/>
          <w:color w:val="000000"/>
        </w:rPr>
        <w:t>Schvey</w:t>
      </w:r>
      <w:r>
        <w:rPr>
          <w:rFonts w:eastAsiaTheme="minorHAnsi"/>
          <w:color w:val="000000"/>
        </w:rPr>
        <w:t>,</w:t>
      </w:r>
      <w:r w:rsidRPr="00BD2E9F">
        <w:rPr>
          <w:rFonts w:eastAsiaTheme="minorHAnsi"/>
          <w:color w:val="000000"/>
        </w:rPr>
        <w:t xml:space="preserve"> N</w:t>
      </w:r>
      <w:r>
        <w:rPr>
          <w:rFonts w:eastAsiaTheme="minorHAnsi"/>
          <w:color w:val="000000"/>
        </w:rPr>
        <w:t xml:space="preserve">. </w:t>
      </w:r>
      <w:r w:rsidRPr="00BD2E9F">
        <w:rPr>
          <w:rFonts w:eastAsiaTheme="minorHAnsi"/>
          <w:color w:val="000000"/>
        </w:rPr>
        <w:t>A</w:t>
      </w:r>
      <w:r>
        <w:rPr>
          <w:rFonts w:eastAsiaTheme="minorHAnsi"/>
          <w:color w:val="000000"/>
        </w:rPr>
        <w:t>.</w:t>
      </w:r>
      <w:r w:rsidRPr="00BD2E9F">
        <w:rPr>
          <w:rFonts w:eastAsiaTheme="minorHAnsi"/>
          <w:color w:val="000000"/>
        </w:rPr>
        <w:t>, Pearlman</w:t>
      </w:r>
      <w:r>
        <w:rPr>
          <w:rFonts w:eastAsiaTheme="minorHAnsi"/>
          <w:color w:val="000000"/>
        </w:rPr>
        <w:t>,</w:t>
      </w:r>
      <w:r w:rsidRPr="00BD2E9F">
        <w:rPr>
          <w:rFonts w:eastAsiaTheme="minorHAnsi"/>
          <w:color w:val="000000"/>
        </w:rPr>
        <w:t xml:space="preserve"> A</w:t>
      </w:r>
      <w:r>
        <w:rPr>
          <w:rFonts w:eastAsiaTheme="minorHAnsi"/>
          <w:color w:val="000000"/>
        </w:rPr>
        <w:t xml:space="preserve">. </w:t>
      </w:r>
      <w:r w:rsidRPr="00BD2E9F">
        <w:rPr>
          <w:rFonts w:eastAsiaTheme="minorHAnsi"/>
          <w:color w:val="000000"/>
        </w:rPr>
        <w:t>T</w:t>
      </w:r>
      <w:r>
        <w:rPr>
          <w:rFonts w:eastAsiaTheme="minorHAnsi"/>
          <w:color w:val="000000"/>
        </w:rPr>
        <w:t>.</w:t>
      </w:r>
      <w:r w:rsidRPr="00BD2E9F">
        <w:rPr>
          <w:rFonts w:eastAsiaTheme="minorHAnsi"/>
          <w:color w:val="000000"/>
        </w:rPr>
        <w:t>, Klein</w:t>
      </w:r>
      <w:r>
        <w:rPr>
          <w:rFonts w:eastAsiaTheme="minorHAnsi"/>
          <w:color w:val="000000"/>
        </w:rPr>
        <w:t>,</w:t>
      </w:r>
      <w:r w:rsidRPr="00BD2E9F">
        <w:rPr>
          <w:rFonts w:eastAsiaTheme="minorHAnsi"/>
          <w:color w:val="000000"/>
        </w:rPr>
        <w:t xml:space="preserve"> D</w:t>
      </w:r>
      <w:r>
        <w:rPr>
          <w:rFonts w:eastAsiaTheme="minorHAnsi"/>
          <w:color w:val="000000"/>
        </w:rPr>
        <w:t xml:space="preserve">. </w:t>
      </w:r>
      <w:r w:rsidRPr="00BD2E9F">
        <w:rPr>
          <w:rFonts w:eastAsiaTheme="minorHAnsi"/>
          <w:color w:val="000000"/>
        </w:rPr>
        <w:t>A</w:t>
      </w:r>
      <w:r>
        <w:rPr>
          <w:rFonts w:eastAsiaTheme="minorHAnsi"/>
          <w:color w:val="000000"/>
        </w:rPr>
        <w:t>.</w:t>
      </w:r>
      <w:r w:rsidRPr="00BD2E9F">
        <w:rPr>
          <w:rFonts w:eastAsiaTheme="minorHAnsi"/>
          <w:color w:val="000000"/>
        </w:rPr>
        <w:t>, Murphy</w:t>
      </w:r>
      <w:r>
        <w:rPr>
          <w:rFonts w:eastAsiaTheme="minorHAnsi"/>
          <w:color w:val="000000"/>
        </w:rPr>
        <w:t>,</w:t>
      </w:r>
      <w:r w:rsidRPr="00BD2E9F">
        <w:rPr>
          <w:rFonts w:eastAsiaTheme="minorHAnsi"/>
          <w:color w:val="000000"/>
        </w:rPr>
        <w:t xml:space="preserve"> M</w:t>
      </w:r>
      <w:r>
        <w:rPr>
          <w:rFonts w:eastAsiaTheme="minorHAnsi"/>
          <w:color w:val="000000"/>
        </w:rPr>
        <w:t xml:space="preserve">. </w:t>
      </w:r>
      <w:r w:rsidRPr="00BD2E9F">
        <w:rPr>
          <w:rFonts w:eastAsiaTheme="minorHAnsi"/>
          <w:color w:val="000000"/>
        </w:rPr>
        <w:t>A</w:t>
      </w:r>
      <w:r>
        <w:rPr>
          <w:rFonts w:eastAsiaTheme="minorHAnsi"/>
          <w:color w:val="000000"/>
        </w:rPr>
        <w:t>.</w:t>
      </w:r>
      <w:r w:rsidRPr="00BD2E9F">
        <w:rPr>
          <w:rFonts w:eastAsiaTheme="minorHAnsi"/>
          <w:color w:val="000000"/>
        </w:rPr>
        <w:t xml:space="preserve">, </w:t>
      </w:r>
      <w:r w:rsidR="009D7D50">
        <w:rPr>
          <w:rFonts w:eastAsiaTheme="minorHAnsi"/>
          <w:color w:val="000000"/>
        </w:rPr>
        <w:t xml:space="preserve">&amp; </w:t>
      </w:r>
      <w:r w:rsidRPr="00BD2E9F">
        <w:rPr>
          <w:rFonts w:eastAsiaTheme="minorHAnsi"/>
          <w:color w:val="000000"/>
        </w:rPr>
        <w:t>Gray</w:t>
      </w:r>
      <w:r>
        <w:rPr>
          <w:rFonts w:eastAsiaTheme="minorHAnsi"/>
          <w:color w:val="000000"/>
        </w:rPr>
        <w:t>,</w:t>
      </w:r>
      <w:r w:rsidRPr="00BD2E9F">
        <w:rPr>
          <w:rFonts w:eastAsiaTheme="minorHAnsi"/>
          <w:color w:val="000000"/>
        </w:rPr>
        <w:t xml:space="preserve"> J</w:t>
      </w:r>
      <w:r>
        <w:rPr>
          <w:rFonts w:eastAsiaTheme="minorHAnsi"/>
          <w:color w:val="000000"/>
        </w:rPr>
        <w:t xml:space="preserve">. </w:t>
      </w:r>
      <w:r w:rsidRPr="00BD2E9F">
        <w:rPr>
          <w:rFonts w:eastAsiaTheme="minorHAnsi"/>
          <w:color w:val="000000"/>
        </w:rPr>
        <w:t>C.</w:t>
      </w:r>
      <w:r>
        <w:rPr>
          <w:rFonts w:eastAsiaTheme="minorHAnsi"/>
          <w:color w:val="000000"/>
        </w:rPr>
        <w:t xml:space="preserve"> (2021).</w:t>
      </w:r>
      <w:r w:rsidRPr="00BD2E9F">
        <w:rPr>
          <w:rFonts w:eastAsiaTheme="minorHAnsi"/>
          <w:color w:val="000000"/>
        </w:rPr>
        <w:t xml:space="preserve"> Obesity and eating disorder disparities among sexual and gender minority y</w:t>
      </w:r>
      <w:r>
        <w:rPr>
          <w:rFonts w:eastAsiaTheme="minorHAnsi"/>
          <w:color w:val="000000"/>
        </w:rPr>
        <w:t xml:space="preserve">outh. </w:t>
      </w:r>
      <w:r w:rsidRPr="004A2305">
        <w:rPr>
          <w:rFonts w:eastAsiaTheme="minorHAnsi"/>
          <w:i/>
          <w:color w:val="000000"/>
        </w:rPr>
        <w:t xml:space="preserve">JAMA </w:t>
      </w:r>
      <w:proofErr w:type="spellStart"/>
      <w:r w:rsidRPr="004A2305">
        <w:rPr>
          <w:rFonts w:eastAsiaTheme="minorHAnsi"/>
          <w:i/>
          <w:color w:val="000000"/>
        </w:rPr>
        <w:t>Pediatr</w:t>
      </w:r>
      <w:proofErr w:type="spellEnd"/>
      <w:r>
        <w:rPr>
          <w:rFonts w:eastAsiaTheme="minorHAnsi"/>
          <w:color w:val="000000"/>
        </w:rPr>
        <w:t xml:space="preserve">, 175(4), </w:t>
      </w:r>
      <w:r w:rsidRPr="00BD2E9F">
        <w:rPr>
          <w:rFonts w:eastAsiaTheme="minorHAnsi"/>
          <w:color w:val="000000"/>
        </w:rPr>
        <w:t>412-</w:t>
      </w:r>
      <w:r>
        <w:rPr>
          <w:rFonts w:eastAsiaTheme="minorHAnsi"/>
          <w:color w:val="000000"/>
        </w:rPr>
        <w:t>4</w:t>
      </w:r>
      <w:r w:rsidRPr="00BD2E9F">
        <w:rPr>
          <w:rFonts w:eastAsiaTheme="minorHAnsi"/>
          <w:color w:val="000000"/>
        </w:rPr>
        <w:t>15.</w:t>
      </w:r>
    </w:p>
    <w:p w14:paraId="6B20BAE4" w14:textId="77777777" w:rsidR="00602FD0" w:rsidRDefault="00602FD0" w:rsidP="00602FD0">
      <w:pPr>
        <w:pStyle w:val="NoSpacing"/>
        <w:rPr>
          <w:rFonts w:eastAsiaTheme="minorHAnsi"/>
        </w:rPr>
      </w:pPr>
    </w:p>
    <w:p w14:paraId="7555F677" w14:textId="26353E3B" w:rsidR="00362B07" w:rsidRDefault="009C130D" w:rsidP="00E179D1">
      <w:pPr>
        <w:pStyle w:val="NoSpacing"/>
        <w:rPr>
          <w:rFonts w:eastAsiaTheme="minorHAnsi"/>
        </w:rPr>
      </w:pPr>
      <w:r w:rsidRPr="009C130D">
        <w:rPr>
          <w:rFonts w:eastAsiaTheme="minorHAnsi"/>
        </w:rPr>
        <w:t>Taliaferro</w:t>
      </w:r>
      <w:r w:rsidR="004A2305">
        <w:rPr>
          <w:rFonts w:eastAsiaTheme="minorHAnsi"/>
        </w:rPr>
        <w:t>,</w:t>
      </w:r>
      <w:r w:rsidRPr="009C130D">
        <w:rPr>
          <w:rFonts w:eastAsiaTheme="minorHAnsi"/>
        </w:rPr>
        <w:t xml:space="preserve"> L</w:t>
      </w:r>
      <w:r w:rsidR="004A2305">
        <w:rPr>
          <w:rFonts w:eastAsiaTheme="minorHAnsi"/>
        </w:rPr>
        <w:t>.</w:t>
      </w:r>
      <w:r w:rsidR="00CF2589">
        <w:rPr>
          <w:rFonts w:eastAsiaTheme="minorHAnsi"/>
        </w:rPr>
        <w:t xml:space="preserve"> </w:t>
      </w:r>
      <w:r w:rsidRPr="009C130D">
        <w:rPr>
          <w:rFonts w:eastAsiaTheme="minorHAnsi"/>
        </w:rPr>
        <w:t>A</w:t>
      </w:r>
      <w:r w:rsidR="004A2305">
        <w:rPr>
          <w:rFonts w:eastAsiaTheme="minorHAnsi"/>
        </w:rPr>
        <w:t>.</w:t>
      </w:r>
      <w:r w:rsidRPr="009C130D">
        <w:rPr>
          <w:rFonts w:eastAsiaTheme="minorHAnsi"/>
        </w:rPr>
        <w:t xml:space="preserve">, </w:t>
      </w:r>
      <w:r w:rsidR="009D7D50">
        <w:rPr>
          <w:rFonts w:eastAsiaTheme="minorHAnsi"/>
        </w:rPr>
        <w:t xml:space="preserve">&amp; </w:t>
      </w:r>
      <w:proofErr w:type="spellStart"/>
      <w:r w:rsidRPr="009C130D">
        <w:rPr>
          <w:rFonts w:eastAsiaTheme="minorHAnsi"/>
        </w:rPr>
        <w:t>Muehlenkamp</w:t>
      </w:r>
      <w:proofErr w:type="spellEnd"/>
      <w:r w:rsidR="004A2305">
        <w:rPr>
          <w:rFonts w:eastAsiaTheme="minorHAnsi"/>
        </w:rPr>
        <w:t>,</w:t>
      </w:r>
      <w:r w:rsidRPr="009C130D">
        <w:rPr>
          <w:rFonts w:eastAsiaTheme="minorHAnsi"/>
        </w:rPr>
        <w:t xml:space="preserve"> J</w:t>
      </w:r>
      <w:r w:rsidR="004A2305">
        <w:rPr>
          <w:rFonts w:eastAsiaTheme="minorHAnsi"/>
        </w:rPr>
        <w:t xml:space="preserve">. </w:t>
      </w:r>
      <w:r w:rsidRPr="009C130D">
        <w:rPr>
          <w:rFonts w:eastAsiaTheme="minorHAnsi"/>
        </w:rPr>
        <w:t xml:space="preserve">J. </w:t>
      </w:r>
      <w:r w:rsidR="004A2305">
        <w:rPr>
          <w:rFonts w:eastAsiaTheme="minorHAnsi"/>
        </w:rPr>
        <w:t xml:space="preserve">(2017). </w:t>
      </w:r>
      <w:proofErr w:type="spellStart"/>
      <w:r w:rsidR="004A2305">
        <w:rPr>
          <w:rFonts w:eastAsiaTheme="minorHAnsi"/>
        </w:rPr>
        <w:t>Nonsuicidal</w:t>
      </w:r>
      <w:proofErr w:type="spellEnd"/>
      <w:r w:rsidR="004A2305">
        <w:rPr>
          <w:rFonts w:eastAsiaTheme="minorHAnsi"/>
        </w:rPr>
        <w:t xml:space="preserve"> self-injury and suicidality among sexual minority youth: risk factors and protective connectedness f</w:t>
      </w:r>
      <w:r w:rsidRPr="009C130D">
        <w:rPr>
          <w:rFonts w:eastAsiaTheme="minorHAnsi"/>
        </w:rPr>
        <w:t xml:space="preserve">actors. </w:t>
      </w:r>
      <w:proofErr w:type="spellStart"/>
      <w:r w:rsidRPr="009C130D">
        <w:rPr>
          <w:rFonts w:eastAsiaTheme="minorHAnsi"/>
          <w:i/>
        </w:rPr>
        <w:t>Acad</w:t>
      </w:r>
      <w:proofErr w:type="spellEnd"/>
      <w:r w:rsidRPr="009C130D">
        <w:rPr>
          <w:rFonts w:eastAsiaTheme="minorHAnsi"/>
          <w:i/>
        </w:rPr>
        <w:t xml:space="preserve"> </w:t>
      </w:r>
      <w:proofErr w:type="spellStart"/>
      <w:r w:rsidRPr="009C130D">
        <w:rPr>
          <w:rFonts w:eastAsiaTheme="minorHAnsi"/>
          <w:i/>
        </w:rPr>
        <w:t>Pediatr</w:t>
      </w:r>
      <w:proofErr w:type="spellEnd"/>
      <w:r w:rsidRPr="009C130D">
        <w:rPr>
          <w:rFonts w:eastAsiaTheme="minorHAnsi"/>
        </w:rPr>
        <w:t>.</w:t>
      </w:r>
      <w:r w:rsidR="004A2305">
        <w:rPr>
          <w:rFonts w:eastAsiaTheme="minorHAnsi"/>
        </w:rPr>
        <w:t xml:space="preserve">, 17(7), </w:t>
      </w:r>
      <w:r w:rsidRPr="009C130D">
        <w:rPr>
          <w:rFonts w:eastAsiaTheme="minorHAnsi"/>
        </w:rPr>
        <w:t>715-722.</w:t>
      </w:r>
    </w:p>
    <w:p w14:paraId="63A11361" w14:textId="3571680D" w:rsidR="00DA199E" w:rsidRDefault="00DA199E" w:rsidP="00E179D1">
      <w:pPr>
        <w:pStyle w:val="NoSpacing"/>
        <w:rPr>
          <w:rFonts w:eastAsiaTheme="minorHAnsi"/>
        </w:rPr>
      </w:pPr>
    </w:p>
    <w:p w14:paraId="5AB17F35" w14:textId="6669EED7" w:rsidR="00DA199E" w:rsidRDefault="00DA199E" w:rsidP="00E179D1">
      <w:pPr>
        <w:pStyle w:val="NoSpacing"/>
        <w:rPr>
          <w:rFonts w:eastAsiaTheme="minorHAnsi"/>
        </w:rPr>
      </w:pPr>
    </w:p>
    <w:p w14:paraId="08FC9F1A" w14:textId="5E70589F" w:rsidR="00DA199E" w:rsidRDefault="00DA199E" w:rsidP="00E179D1">
      <w:pPr>
        <w:pStyle w:val="NoSpacing"/>
        <w:rPr>
          <w:rFonts w:eastAsiaTheme="minorHAnsi"/>
        </w:rPr>
      </w:pPr>
    </w:p>
    <w:p w14:paraId="1704C419" w14:textId="72D4A63D" w:rsidR="00DA199E" w:rsidRDefault="00DA199E" w:rsidP="00E179D1">
      <w:pPr>
        <w:pStyle w:val="NoSpacing"/>
        <w:rPr>
          <w:rFonts w:eastAsiaTheme="minorHAnsi"/>
        </w:rPr>
      </w:pPr>
    </w:p>
    <w:p w14:paraId="62FA6C84" w14:textId="3C21F59F" w:rsidR="00DA199E" w:rsidRDefault="00DA199E" w:rsidP="00E179D1">
      <w:pPr>
        <w:pStyle w:val="NoSpacing"/>
        <w:rPr>
          <w:rFonts w:eastAsiaTheme="minorHAnsi"/>
        </w:rPr>
      </w:pPr>
    </w:p>
    <w:p w14:paraId="5EE090FC" w14:textId="77777777" w:rsidR="00D85459" w:rsidRDefault="00D85459" w:rsidP="00D85459">
      <w:pPr>
        <w:rPr>
          <w:b/>
        </w:rPr>
      </w:pPr>
    </w:p>
    <w:p w14:paraId="0AFF2D50" w14:textId="77777777" w:rsidR="00D85459" w:rsidRDefault="00D85459" w:rsidP="00D85459">
      <w:pPr>
        <w:rPr>
          <w:b/>
        </w:rPr>
      </w:pPr>
    </w:p>
    <w:p w14:paraId="42DC5925" w14:textId="77777777" w:rsidR="00D85459" w:rsidRDefault="00D85459" w:rsidP="00D85459">
      <w:pPr>
        <w:rPr>
          <w:b/>
        </w:rPr>
      </w:pPr>
    </w:p>
    <w:p w14:paraId="02824018" w14:textId="77777777" w:rsidR="00D85459" w:rsidRDefault="00D85459" w:rsidP="00D85459">
      <w:pPr>
        <w:rPr>
          <w:b/>
        </w:rPr>
      </w:pPr>
    </w:p>
    <w:p w14:paraId="765D9EBF" w14:textId="77777777" w:rsidR="00D85459" w:rsidRDefault="00D85459" w:rsidP="00D85459">
      <w:pPr>
        <w:rPr>
          <w:b/>
        </w:rPr>
      </w:pPr>
    </w:p>
    <w:p w14:paraId="661C699A" w14:textId="77777777" w:rsidR="00D85459" w:rsidRDefault="00D85459" w:rsidP="00D85459">
      <w:pPr>
        <w:rPr>
          <w:b/>
        </w:rPr>
      </w:pPr>
    </w:p>
    <w:p w14:paraId="6EE77636" w14:textId="77777777" w:rsidR="00D85459" w:rsidRDefault="00D85459" w:rsidP="00D85459">
      <w:pPr>
        <w:rPr>
          <w:b/>
        </w:rPr>
      </w:pPr>
    </w:p>
    <w:p w14:paraId="6FD2839A" w14:textId="77777777" w:rsidR="00D85459" w:rsidRDefault="00D85459" w:rsidP="00D85459">
      <w:pPr>
        <w:rPr>
          <w:b/>
        </w:rPr>
      </w:pPr>
    </w:p>
    <w:p w14:paraId="4929F5C7" w14:textId="77777777" w:rsidR="00D85459" w:rsidRDefault="00D85459" w:rsidP="00D85459">
      <w:pPr>
        <w:rPr>
          <w:b/>
        </w:rPr>
      </w:pPr>
    </w:p>
    <w:p w14:paraId="6E1E78F0" w14:textId="77777777" w:rsidR="00D85459" w:rsidRDefault="00D85459" w:rsidP="00D85459">
      <w:pPr>
        <w:rPr>
          <w:b/>
        </w:rPr>
      </w:pPr>
    </w:p>
    <w:p w14:paraId="0C0F1502" w14:textId="77777777" w:rsidR="00D85459" w:rsidRDefault="00D85459" w:rsidP="00D85459">
      <w:pPr>
        <w:rPr>
          <w:b/>
        </w:rPr>
      </w:pPr>
    </w:p>
    <w:p w14:paraId="3113DAF5" w14:textId="77777777" w:rsidR="00D85459" w:rsidRDefault="00D85459" w:rsidP="00D85459">
      <w:pPr>
        <w:rPr>
          <w:b/>
        </w:rPr>
      </w:pPr>
    </w:p>
    <w:p w14:paraId="07251E6D" w14:textId="77777777" w:rsidR="00D85459" w:rsidRDefault="00D85459" w:rsidP="00D85459">
      <w:pPr>
        <w:rPr>
          <w:b/>
        </w:rPr>
      </w:pPr>
    </w:p>
    <w:p w14:paraId="6691865A" w14:textId="77777777" w:rsidR="00D85459" w:rsidRDefault="00D85459" w:rsidP="00D85459">
      <w:pPr>
        <w:rPr>
          <w:b/>
        </w:rPr>
      </w:pPr>
    </w:p>
    <w:p w14:paraId="7B4DB0B3" w14:textId="77777777" w:rsidR="00D85459" w:rsidRDefault="00D85459" w:rsidP="00D85459">
      <w:pPr>
        <w:rPr>
          <w:b/>
        </w:rPr>
      </w:pPr>
    </w:p>
    <w:p w14:paraId="7E7E1607" w14:textId="77777777" w:rsidR="00D85459" w:rsidRDefault="00D85459" w:rsidP="00D85459">
      <w:pPr>
        <w:rPr>
          <w:b/>
        </w:rPr>
      </w:pPr>
    </w:p>
    <w:p w14:paraId="02147C5E" w14:textId="77777777" w:rsidR="00D85459" w:rsidRDefault="00D85459" w:rsidP="00D85459">
      <w:pPr>
        <w:rPr>
          <w:b/>
        </w:rPr>
      </w:pPr>
    </w:p>
    <w:p w14:paraId="340073F8" w14:textId="77777777" w:rsidR="00D85459" w:rsidRDefault="00D85459" w:rsidP="00D85459">
      <w:pPr>
        <w:rPr>
          <w:b/>
        </w:rPr>
      </w:pPr>
    </w:p>
    <w:p w14:paraId="10FF0EBA" w14:textId="77777777" w:rsidR="00D85459" w:rsidRDefault="00D85459" w:rsidP="00D85459">
      <w:pPr>
        <w:rPr>
          <w:b/>
        </w:rPr>
      </w:pPr>
    </w:p>
    <w:p w14:paraId="2BDBE529" w14:textId="77777777" w:rsidR="00D85459" w:rsidRDefault="00D85459" w:rsidP="00D85459">
      <w:pPr>
        <w:rPr>
          <w:b/>
        </w:rPr>
      </w:pPr>
    </w:p>
    <w:p w14:paraId="1F35FA0C" w14:textId="77777777" w:rsidR="00D85459" w:rsidRDefault="00D85459" w:rsidP="00D85459">
      <w:pPr>
        <w:rPr>
          <w:b/>
        </w:rPr>
      </w:pPr>
    </w:p>
    <w:p w14:paraId="32E119EC" w14:textId="77777777" w:rsidR="00D85459" w:rsidRDefault="00D85459" w:rsidP="00D85459">
      <w:pPr>
        <w:rPr>
          <w:b/>
        </w:rPr>
      </w:pPr>
    </w:p>
    <w:p w14:paraId="2D0874E4" w14:textId="77777777" w:rsidR="00D85459" w:rsidRDefault="00D85459" w:rsidP="00D85459">
      <w:pPr>
        <w:rPr>
          <w:b/>
        </w:rPr>
      </w:pPr>
    </w:p>
    <w:p w14:paraId="6799087C" w14:textId="209D6F6E" w:rsidR="00D85459" w:rsidRPr="0073797E" w:rsidRDefault="00D85459" w:rsidP="00D85459">
      <w:pPr>
        <w:rPr>
          <w:b/>
        </w:rPr>
      </w:pPr>
      <w:r w:rsidRPr="0073797E">
        <w:rPr>
          <w:b/>
        </w:rPr>
        <w:lastRenderedPageBreak/>
        <w:t xml:space="preserve">Table 1. Participant Demographics (N = 11,325) </w:t>
      </w:r>
    </w:p>
    <w:p w14:paraId="74E75B3B" w14:textId="77777777" w:rsidR="00D85459" w:rsidRPr="0073797E" w:rsidRDefault="00D85459" w:rsidP="00D85459">
      <w:pPr>
        <w:rPr>
          <w:b/>
        </w:rPr>
      </w:pPr>
    </w:p>
    <w:tbl>
      <w:tblPr>
        <w:tblStyle w:val="TableGrid"/>
        <w:tblW w:w="5069"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795"/>
        <w:gridCol w:w="1786"/>
        <w:gridCol w:w="2454"/>
        <w:gridCol w:w="2454"/>
      </w:tblGrid>
      <w:tr w:rsidR="00D85459" w:rsidRPr="0073797E" w14:paraId="13CB41BC" w14:textId="77777777" w:rsidTr="005E50DE">
        <w:trPr>
          <w:trHeight w:val="274"/>
        </w:trPr>
        <w:tc>
          <w:tcPr>
            <w:tcW w:w="1473" w:type="pct"/>
            <w:tcBorders>
              <w:top w:val="single" w:sz="4" w:space="0" w:color="FFFFFF" w:themeColor="background1"/>
              <w:bottom w:val="single" w:sz="4" w:space="0" w:color="FFFFFF" w:themeColor="background1"/>
            </w:tcBorders>
          </w:tcPr>
          <w:p w14:paraId="6AA3CCA2" w14:textId="77777777" w:rsidR="00D85459" w:rsidRPr="0073797E" w:rsidRDefault="00D85459" w:rsidP="005E50DE">
            <w:pPr>
              <w:spacing w:line="276" w:lineRule="auto"/>
              <w:rPr>
                <w:b/>
              </w:rPr>
            </w:pPr>
          </w:p>
        </w:tc>
        <w:tc>
          <w:tcPr>
            <w:tcW w:w="941" w:type="pct"/>
            <w:tcBorders>
              <w:top w:val="single" w:sz="4" w:space="0" w:color="FFFFFF" w:themeColor="background1"/>
              <w:bottom w:val="single" w:sz="4" w:space="0" w:color="auto"/>
            </w:tcBorders>
          </w:tcPr>
          <w:p w14:paraId="28EE59C4" w14:textId="77777777" w:rsidR="00D85459" w:rsidRPr="0073797E" w:rsidRDefault="00D85459" w:rsidP="005E50DE">
            <w:pPr>
              <w:spacing w:line="276" w:lineRule="auto"/>
              <w:jc w:val="center"/>
              <w:rPr>
                <w:b/>
              </w:rPr>
            </w:pPr>
            <w:r w:rsidRPr="0073797E">
              <w:rPr>
                <w:b/>
              </w:rPr>
              <w:t>SGM</w:t>
            </w:r>
          </w:p>
        </w:tc>
        <w:tc>
          <w:tcPr>
            <w:tcW w:w="1293" w:type="pct"/>
            <w:tcBorders>
              <w:top w:val="single" w:sz="4" w:space="0" w:color="FFFFFF" w:themeColor="background1"/>
              <w:bottom w:val="single" w:sz="4" w:space="0" w:color="auto"/>
            </w:tcBorders>
          </w:tcPr>
          <w:p w14:paraId="5AF671CB" w14:textId="77777777" w:rsidR="00D85459" w:rsidRPr="0073797E" w:rsidRDefault="00D85459" w:rsidP="005E50DE">
            <w:pPr>
              <w:spacing w:line="276" w:lineRule="auto"/>
              <w:jc w:val="center"/>
              <w:rPr>
                <w:b/>
              </w:rPr>
            </w:pPr>
            <w:r w:rsidRPr="0073797E">
              <w:rPr>
                <w:b/>
              </w:rPr>
              <w:t>Non-SGM</w:t>
            </w:r>
          </w:p>
        </w:tc>
        <w:tc>
          <w:tcPr>
            <w:tcW w:w="1293" w:type="pct"/>
            <w:tcBorders>
              <w:top w:val="single" w:sz="4" w:space="0" w:color="FFFFFF" w:themeColor="background1"/>
              <w:bottom w:val="single" w:sz="4" w:space="0" w:color="auto"/>
            </w:tcBorders>
          </w:tcPr>
          <w:p w14:paraId="3B785E6D" w14:textId="77777777" w:rsidR="00D85459" w:rsidRPr="0073797E" w:rsidRDefault="00D85459" w:rsidP="005E50DE">
            <w:pPr>
              <w:spacing w:line="276" w:lineRule="auto"/>
              <w:jc w:val="center"/>
              <w:rPr>
                <w:b/>
              </w:rPr>
            </w:pPr>
            <w:r w:rsidRPr="0073797E">
              <w:rPr>
                <w:b/>
              </w:rPr>
              <w:t>Total Sample</w:t>
            </w:r>
          </w:p>
        </w:tc>
      </w:tr>
      <w:tr w:rsidR="00D85459" w:rsidRPr="0073797E" w14:paraId="00F66515" w14:textId="77777777" w:rsidTr="005E50DE">
        <w:trPr>
          <w:trHeight w:val="274"/>
        </w:trPr>
        <w:tc>
          <w:tcPr>
            <w:tcW w:w="1473" w:type="pct"/>
            <w:tcBorders>
              <w:top w:val="single" w:sz="4" w:space="0" w:color="FFFFFF" w:themeColor="background1"/>
            </w:tcBorders>
          </w:tcPr>
          <w:p w14:paraId="77A57D5E" w14:textId="77777777" w:rsidR="00D85459" w:rsidRPr="0073797E" w:rsidRDefault="00D85459" w:rsidP="005E50DE">
            <w:pPr>
              <w:spacing w:line="276" w:lineRule="auto"/>
              <w:rPr>
                <w:b/>
              </w:rPr>
            </w:pPr>
          </w:p>
        </w:tc>
        <w:tc>
          <w:tcPr>
            <w:tcW w:w="941" w:type="pct"/>
            <w:tcBorders>
              <w:top w:val="single" w:sz="4" w:space="0" w:color="auto"/>
            </w:tcBorders>
          </w:tcPr>
          <w:p w14:paraId="22C78892" w14:textId="77777777" w:rsidR="00D85459" w:rsidRPr="0073797E" w:rsidRDefault="00D85459" w:rsidP="005E50DE">
            <w:pPr>
              <w:spacing w:line="276" w:lineRule="auto"/>
              <w:jc w:val="center"/>
              <w:rPr>
                <w:b/>
              </w:rPr>
            </w:pPr>
            <w:r w:rsidRPr="0073797E">
              <w:rPr>
                <w:b/>
              </w:rPr>
              <w:t>N (%)</w:t>
            </w:r>
          </w:p>
        </w:tc>
        <w:tc>
          <w:tcPr>
            <w:tcW w:w="1293" w:type="pct"/>
            <w:tcBorders>
              <w:top w:val="single" w:sz="4" w:space="0" w:color="auto"/>
            </w:tcBorders>
          </w:tcPr>
          <w:p w14:paraId="5BCF019C" w14:textId="77777777" w:rsidR="00D85459" w:rsidRPr="0073797E" w:rsidRDefault="00D85459" w:rsidP="005E50DE">
            <w:pPr>
              <w:spacing w:line="276" w:lineRule="auto"/>
              <w:jc w:val="center"/>
              <w:rPr>
                <w:b/>
              </w:rPr>
            </w:pPr>
            <w:r w:rsidRPr="0073797E">
              <w:rPr>
                <w:b/>
              </w:rPr>
              <w:t>N (%)</w:t>
            </w:r>
          </w:p>
        </w:tc>
        <w:tc>
          <w:tcPr>
            <w:tcW w:w="1293" w:type="pct"/>
            <w:tcBorders>
              <w:top w:val="single" w:sz="4" w:space="0" w:color="auto"/>
            </w:tcBorders>
          </w:tcPr>
          <w:p w14:paraId="2F7D9CD5" w14:textId="77777777" w:rsidR="00D85459" w:rsidRPr="0073797E" w:rsidRDefault="00D85459" w:rsidP="005E50DE">
            <w:pPr>
              <w:spacing w:line="276" w:lineRule="auto"/>
              <w:jc w:val="center"/>
              <w:rPr>
                <w:b/>
              </w:rPr>
            </w:pPr>
            <w:r w:rsidRPr="0073797E">
              <w:rPr>
                <w:b/>
              </w:rPr>
              <w:t>N (%)</w:t>
            </w:r>
          </w:p>
        </w:tc>
      </w:tr>
      <w:tr w:rsidR="00D85459" w:rsidRPr="0073797E" w14:paraId="37389D4A" w14:textId="77777777" w:rsidTr="005E50DE">
        <w:trPr>
          <w:trHeight w:val="274"/>
        </w:trPr>
        <w:tc>
          <w:tcPr>
            <w:tcW w:w="1473" w:type="pct"/>
          </w:tcPr>
          <w:p w14:paraId="079097F8" w14:textId="77777777" w:rsidR="00D85459" w:rsidRPr="0073797E" w:rsidRDefault="00D85459" w:rsidP="005E50DE">
            <w:pPr>
              <w:spacing w:line="276" w:lineRule="auto"/>
              <w:rPr>
                <w:vertAlign w:val="superscript"/>
              </w:rPr>
            </w:pPr>
            <w:r w:rsidRPr="0073797E">
              <w:t xml:space="preserve">Birth-Assigned </w:t>
            </w:r>
            <w:proofErr w:type="spellStart"/>
            <w:r w:rsidRPr="0073797E">
              <w:t>Sex</w:t>
            </w:r>
            <w:r>
              <w:rPr>
                <w:vertAlign w:val="superscript"/>
              </w:rPr>
              <w:t>a</w:t>
            </w:r>
            <w:proofErr w:type="spellEnd"/>
          </w:p>
        </w:tc>
        <w:tc>
          <w:tcPr>
            <w:tcW w:w="941" w:type="pct"/>
          </w:tcPr>
          <w:p w14:paraId="5122C78E" w14:textId="77777777" w:rsidR="00D85459" w:rsidRPr="0073797E" w:rsidRDefault="00D85459" w:rsidP="005E50DE">
            <w:pPr>
              <w:spacing w:line="276" w:lineRule="auto"/>
              <w:jc w:val="right"/>
            </w:pPr>
          </w:p>
        </w:tc>
        <w:tc>
          <w:tcPr>
            <w:tcW w:w="1293" w:type="pct"/>
          </w:tcPr>
          <w:p w14:paraId="3E4E7C59" w14:textId="77777777" w:rsidR="00D85459" w:rsidRPr="0073797E" w:rsidRDefault="00D85459" w:rsidP="005E50DE">
            <w:pPr>
              <w:spacing w:line="276" w:lineRule="auto"/>
              <w:jc w:val="right"/>
            </w:pPr>
          </w:p>
        </w:tc>
        <w:tc>
          <w:tcPr>
            <w:tcW w:w="1293" w:type="pct"/>
          </w:tcPr>
          <w:p w14:paraId="640537C0" w14:textId="77777777" w:rsidR="00D85459" w:rsidRPr="0073797E" w:rsidRDefault="00D85459" w:rsidP="005E50DE">
            <w:pPr>
              <w:spacing w:line="276" w:lineRule="auto"/>
              <w:jc w:val="right"/>
            </w:pPr>
          </w:p>
        </w:tc>
      </w:tr>
      <w:tr w:rsidR="00D85459" w:rsidRPr="0073797E" w14:paraId="264D5F6E" w14:textId="77777777" w:rsidTr="005E50DE">
        <w:trPr>
          <w:trHeight w:val="274"/>
        </w:trPr>
        <w:tc>
          <w:tcPr>
            <w:tcW w:w="1473" w:type="pct"/>
          </w:tcPr>
          <w:p w14:paraId="11F6DFE0" w14:textId="77777777" w:rsidR="00D85459" w:rsidRPr="0073797E" w:rsidRDefault="00D85459" w:rsidP="005E50DE">
            <w:pPr>
              <w:spacing w:line="276" w:lineRule="auto"/>
            </w:pPr>
            <w:r w:rsidRPr="0073797E">
              <w:t xml:space="preserve">       Male</w:t>
            </w:r>
          </w:p>
        </w:tc>
        <w:tc>
          <w:tcPr>
            <w:tcW w:w="941" w:type="pct"/>
          </w:tcPr>
          <w:p w14:paraId="46F74C7F" w14:textId="77777777" w:rsidR="00D85459" w:rsidRPr="0073797E" w:rsidRDefault="00D85459" w:rsidP="005E50DE">
            <w:pPr>
              <w:spacing w:line="276" w:lineRule="auto"/>
              <w:jc w:val="center"/>
            </w:pPr>
            <w:r w:rsidRPr="0073797E">
              <w:t>94 (21.6)</w:t>
            </w:r>
          </w:p>
        </w:tc>
        <w:tc>
          <w:tcPr>
            <w:tcW w:w="1293" w:type="pct"/>
          </w:tcPr>
          <w:p w14:paraId="183E7FDA" w14:textId="77777777" w:rsidR="00D85459" w:rsidRPr="0073797E" w:rsidRDefault="00D85459" w:rsidP="005E50DE">
            <w:pPr>
              <w:spacing w:line="276" w:lineRule="auto"/>
              <w:jc w:val="center"/>
            </w:pPr>
            <w:r w:rsidRPr="0073797E">
              <w:t>5758 (53.5)</w:t>
            </w:r>
          </w:p>
        </w:tc>
        <w:tc>
          <w:tcPr>
            <w:tcW w:w="1293" w:type="pct"/>
          </w:tcPr>
          <w:p w14:paraId="30BB8E43" w14:textId="77777777" w:rsidR="00D85459" w:rsidRPr="0073797E" w:rsidRDefault="00D85459" w:rsidP="005E50DE">
            <w:pPr>
              <w:spacing w:line="276" w:lineRule="auto"/>
              <w:jc w:val="center"/>
            </w:pPr>
            <w:r w:rsidRPr="0073797E">
              <w:t>5879 (52.3)</w:t>
            </w:r>
          </w:p>
        </w:tc>
      </w:tr>
      <w:tr w:rsidR="00D85459" w:rsidRPr="0073797E" w14:paraId="7D305833" w14:textId="77777777" w:rsidTr="005E50DE">
        <w:trPr>
          <w:trHeight w:val="274"/>
        </w:trPr>
        <w:tc>
          <w:tcPr>
            <w:tcW w:w="1473" w:type="pct"/>
          </w:tcPr>
          <w:p w14:paraId="0152D68E" w14:textId="77777777" w:rsidR="00D85459" w:rsidRPr="0073797E" w:rsidRDefault="00D85459" w:rsidP="005E50DE">
            <w:pPr>
              <w:spacing w:line="276" w:lineRule="auto"/>
            </w:pPr>
            <w:r w:rsidRPr="0073797E">
              <w:t xml:space="preserve">       Female</w:t>
            </w:r>
          </w:p>
        </w:tc>
        <w:tc>
          <w:tcPr>
            <w:tcW w:w="941" w:type="pct"/>
          </w:tcPr>
          <w:p w14:paraId="61FDC606" w14:textId="77777777" w:rsidR="00D85459" w:rsidRPr="0073797E" w:rsidRDefault="00D85459" w:rsidP="005E50DE">
            <w:pPr>
              <w:spacing w:line="276" w:lineRule="auto"/>
              <w:jc w:val="center"/>
            </w:pPr>
            <w:r w:rsidRPr="0073797E">
              <w:t>342 (78.4)</w:t>
            </w:r>
          </w:p>
        </w:tc>
        <w:tc>
          <w:tcPr>
            <w:tcW w:w="1293" w:type="pct"/>
          </w:tcPr>
          <w:p w14:paraId="5FA2B61C" w14:textId="77777777" w:rsidR="00D85459" w:rsidRPr="0073797E" w:rsidRDefault="00D85459" w:rsidP="005E50DE">
            <w:pPr>
              <w:spacing w:line="276" w:lineRule="auto"/>
              <w:jc w:val="center"/>
            </w:pPr>
            <w:r w:rsidRPr="0073797E">
              <w:t>4999 (46.5)</w:t>
            </w:r>
          </w:p>
        </w:tc>
        <w:tc>
          <w:tcPr>
            <w:tcW w:w="1293" w:type="pct"/>
          </w:tcPr>
          <w:p w14:paraId="003144FD" w14:textId="77777777" w:rsidR="00D85459" w:rsidRPr="0073797E" w:rsidRDefault="00D85459" w:rsidP="005E50DE">
            <w:pPr>
              <w:spacing w:line="276" w:lineRule="auto"/>
              <w:jc w:val="center"/>
            </w:pPr>
            <w:r w:rsidRPr="0073797E">
              <w:t>5356 (47.7)</w:t>
            </w:r>
          </w:p>
        </w:tc>
      </w:tr>
      <w:tr w:rsidR="00D85459" w:rsidRPr="0073797E" w14:paraId="6C084159" w14:textId="77777777" w:rsidTr="005E50DE">
        <w:trPr>
          <w:trHeight w:val="274"/>
        </w:trPr>
        <w:tc>
          <w:tcPr>
            <w:tcW w:w="1473" w:type="pct"/>
            <w:tcBorders>
              <w:top w:val="single" w:sz="4" w:space="0" w:color="FFFFFF" w:themeColor="background1"/>
            </w:tcBorders>
          </w:tcPr>
          <w:p w14:paraId="42B4A8DF" w14:textId="77777777" w:rsidR="00D85459" w:rsidRPr="0073797E" w:rsidRDefault="00D85459" w:rsidP="005E50DE">
            <w:pPr>
              <w:spacing w:line="276" w:lineRule="auto"/>
            </w:pPr>
            <w:r w:rsidRPr="0073797E">
              <w:t>Race</w:t>
            </w:r>
          </w:p>
        </w:tc>
        <w:tc>
          <w:tcPr>
            <w:tcW w:w="941" w:type="pct"/>
            <w:tcBorders>
              <w:top w:val="single" w:sz="4" w:space="0" w:color="FFFFFF" w:themeColor="background1"/>
            </w:tcBorders>
          </w:tcPr>
          <w:p w14:paraId="27BF3D1E" w14:textId="77777777" w:rsidR="00D85459" w:rsidRPr="0073797E" w:rsidRDefault="00D85459" w:rsidP="005E50DE">
            <w:pPr>
              <w:spacing w:line="276" w:lineRule="auto"/>
              <w:jc w:val="center"/>
            </w:pPr>
          </w:p>
        </w:tc>
        <w:tc>
          <w:tcPr>
            <w:tcW w:w="1293" w:type="pct"/>
            <w:tcBorders>
              <w:top w:val="single" w:sz="4" w:space="0" w:color="FFFFFF" w:themeColor="background1"/>
            </w:tcBorders>
          </w:tcPr>
          <w:p w14:paraId="6E987406" w14:textId="77777777" w:rsidR="00D85459" w:rsidRPr="0073797E" w:rsidRDefault="00D85459" w:rsidP="005E50DE">
            <w:pPr>
              <w:spacing w:line="276" w:lineRule="auto"/>
              <w:jc w:val="center"/>
            </w:pPr>
          </w:p>
        </w:tc>
        <w:tc>
          <w:tcPr>
            <w:tcW w:w="1293" w:type="pct"/>
            <w:tcBorders>
              <w:top w:val="single" w:sz="4" w:space="0" w:color="FFFFFF" w:themeColor="background1"/>
            </w:tcBorders>
          </w:tcPr>
          <w:p w14:paraId="69A7F8FF" w14:textId="77777777" w:rsidR="00D85459" w:rsidRPr="0073797E" w:rsidRDefault="00D85459" w:rsidP="005E50DE">
            <w:pPr>
              <w:spacing w:line="276" w:lineRule="auto"/>
              <w:jc w:val="center"/>
            </w:pPr>
          </w:p>
        </w:tc>
      </w:tr>
      <w:tr w:rsidR="00D85459" w:rsidRPr="0073797E" w14:paraId="46C66B4B" w14:textId="77777777" w:rsidTr="005E50DE">
        <w:trPr>
          <w:trHeight w:val="274"/>
        </w:trPr>
        <w:tc>
          <w:tcPr>
            <w:tcW w:w="1473" w:type="pct"/>
          </w:tcPr>
          <w:p w14:paraId="13BFF70F" w14:textId="77777777" w:rsidR="00D85459" w:rsidRPr="0073797E" w:rsidRDefault="00D85459" w:rsidP="005E50DE">
            <w:pPr>
              <w:spacing w:line="276" w:lineRule="auto"/>
            </w:pPr>
            <w:r w:rsidRPr="0073797E">
              <w:t xml:space="preserve">     White</w:t>
            </w:r>
          </w:p>
        </w:tc>
        <w:tc>
          <w:tcPr>
            <w:tcW w:w="941" w:type="pct"/>
          </w:tcPr>
          <w:p w14:paraId="4675BA83" w14:textId="77777777" w:rsidR="00D85459" w:rsidRPr="0073797E" w:rsidRDefault="00D85459" w:rsidP="005E50DE">
            <w:pPr>
              <w:spacing w:line="276" w:lineRule="auto"/>
              <w:jc w:val="center"/>
            </w:pPr>
            <w:r w:rsidRPr="0073797E">
              <w:t>262 (60.1)</w:t>
            </w:r>
          </w:p>
        </w:tc>
        <w:tc>
          <w:tcPr>
            <w:tcW w:w="1293" w:type="pct"/>
          </w:tcPr>
          <w:p w14:paraId="2D81190B" w14:textId="77777777" w:rsidR="00D85459" w:rsidRPr="0073797E" w:rsidRDefault="00D85459" w:rsidP="005E50DE">
            <w:pPr>
              <w:spacing w:line="276" w:lineRule="auto"/>
              <w:jc w:val="center"/>
            </w:pPr>
            <w:r w:rsidRPr="0073797E">
              <w:t>5711 (53.1)</w:t>
            </w:r>
          </w:p>
        </w:tc>
        <w:tc>
          <w:tcPr>
            <w:tcW w:w="1293" w:type="pct"/>
          </w:tcPr>
          <w:p w14:paraId="4CAA9296" w14:textId="77777777" w:rsidR="00D85459" w:rsidRPr="0073797E" w:rsidRDefault="00D85459" w:rsidP="005E50DE">
            <w:pPr>
              <w:spacing w:line="276" w:lineRule="auto"/>
              <w:jc w:val="center"/>
            </w:pPr>
            <w:r w:rsidRPr="0073797E">
              <w:t>5988 (53.3)</w:t>
            </w:r>
          </w:p>
        </w:tc>
      </w:tr>
      <w:tr w:rsidR="00D85459" w:rsidRPr="0073797E" w14:paraId="302BCC62" w14:textId="77777777" w:rsidTr="005E50DE">
        <w:trPr>
          <w:trHeight w:val="274"/>
        </w:trPr>
        <w:tc>
          <w:tcPr>
            <w:tcW w:w="1473" w:type="pct"/>
            <w:tcBorders>
              <w:top w:val="single" w:sz="4" w:space="0" w:color="FFFFFF" w:themeColor="background1"/>
            </w:tcBorders>
          </w:tcPr>
          <w:p w14:paraId="450EFE2D" w14:textId="77777777" w:rsidR="00D85459" w:rsidRPr="0073797E" w:rsidRDefault="00D85459" w:rsidP="005E50DE">
            <w:pPr>
              <w:spacing w:line="276" w:lineRule="auto"/>
            </w:pPr>
            <w:r w:rsidRPr="0073797E">
              <w:t xml:space="preserve">      Black</w:t>
            </w:r>
          </w:p>
        </w:tc>
        <w:tc>
          <w:tcPr>
            <w:tcW w:w="941" w:type="pct"/>
            <w:tcBorders>
              <w:top w:val="single" w:sz="4" w:space="0" w:color="FFFFFF" w:themeColor="background1"/>
            </w:tcBorders>
          </w:tcPr>
          <w:p w14:paraId="6B39EDB2" w14:textId="77777777" w:rsidR="00D85459" w:rsidRPr="0073797E" w:rsidRDefault="00D85459" w:rsidP="005E50DE">
            <w:pPr>
              <w:spacing w:line="276" w:lineRule="auto"/>
              <w:jc w:val="center"/>
            </w:pPr>
            <w:r w:rsidRPr="0073797E">
              <w:t>53 (12.2)</w:t>
            </w:r>
          </w:p>
        </w:tc>
        <w:tc>
          <w:tcPr>
            <w:tcW w:w="1293" w:type="pct"/>
            <w:tcBorders>
              <w:top w:val="single" w:sz="4" w:space="0" w:color="FFFFFF" w:themeColor="background1"/>
            </w:tcBorders>
          </w:tcPr>
          <w:p w14:paraId="2860AE57" w14:textId="77777777" w:rsidR="00D85459" w:rsidRPr="0073797E" w:rsidRDefault="00D85459" w:rsidP="005E50DE">
            <w:pPr>
              <w:spacing w:line="276" w:lineRule="auto"/>
              <w:jc w:val="center"/>
            </w:pPr>
            <w:r w:rsidRPr="0073797E">
              <w:t>1531 (14.2)</w:t>
            </w:r>
          </w:p>
        </w:tc>
        <w:tc>
          <w:tcPr>
            <w:tcW w:w="1293" w:type="pct"/>
            <w:tcBorders>
              <w:top w:val="single" w:sz="4" w:space="0" w:color="FFFFFF" w:themeColor="background1"/>
            </w:tcBorders>
          </w:tcPr>
          <w:p w14:paraId="200D1001" w14:textId="77777777" w:rsidR="00D85459" w:rsidRPr="0073797E" w:rsidRDefault="00D85459" w:rsidP="005E50DE">
            <w:pPr>
              <w:spacing w:line="276" w:lineRule="auto"/>
              <w:jc w:val="center"/>
            </w:pPr>
            <w:r w:rsidRPr="0073797E">
              <w:t>1595 (14.2)</w:t>
            </w:r>
          </w:p>
        </w:tc>
      </w:tr>
      <w:tr w:rsidR="00D85459" w:rsidRPr="0073797E" w14:paraId="6DCA90EA" w14:textId="77777777" w:rsidTr="005E50DE">
        <w:trPr>
          <w:trHeight w:val="274"/>
        </w:trPr>
        <w:tc>
          <w:tcPr>
            <w:tcW w:w="1473" w:type="pct"/>
          </w:tcPr>
          <w:p w14:paraId="1B4C9329" w14:textId="77777777" w:rsidR="00D85459" w:rsidRPr="0073797E" w:rsidRDefault="00D85459" w:rsidP="005E50DE">
            <w:pPr>
              <w:spacing w:line="276" w:lineRule="auto"/>
            </w:pPr>
            <w:r w:rsidRPr="0073797E">
              <w:t xml:space="preserve">      Hispanic</w:t>
            </w:r>
          </w:p>
        </w:tc>
        <w:tc>
          <w:tcPr>
            <w:tcW w:w="941" w:type="pct"/>
          </w:tcPr>
          <w:p w14:paraId="63B65147" w14:textId="77777777" w:rsidR="00D85459" w:rsidRPr="0073797E" w:rsidRDefault="00D85459" w:rsidP="005E50DE">
            <w:pPr>
              <w:spacing w:line="276" w:lineRule="auto"/>
              <w:jc w:val="center"/>
            </w:pPr>
            <w:r w:rsidRPr="0073797E">
              <w:t>71 (16.3)</w:t>
            </w:r>
          </w:p>
        </w:tc>
        <w:tc>
          <w:tcPr>
            <w:tcW w:w="1293" w:type="pct"/>
          </w:tcPr>
          <w:p w14:paraId="6458F246" w14:textId="77777777" w:rsidR="00D85459" w:rsidRPr="0073797E" w:rsidRDefault="00D85459" w:rsidP="005E50DE">
            <w:pPr>
              <w:spacing w:line="276" w:lineRule="auto"/>
              <w:jc w:val="center"/>
            </w:pPr>
            <w:r w:rsidRPr="0073797E">
              <w:t>2145 (19.9)</w:t>
            </w:r>
          </w:p>
        </w:tc>
        <w:tc>
          <w:tcPr>
            <w:tcW w:w="1293" w:type="pct"/>
          </w:tcPr>
          <w:p w14:paraId="43534D55" w14:textId="77777777" w:rsidR="00D85459" w:rsidRPr="0073797E" w:rsidRDefault="00D85459" w:rsidP="005E50DE">
            <w:pPr>
              <w:spacing w:line="276" w:lineRule="auto"/>
              <w:jc w:val="center"/>
            </w:pPr>
            <w:r w:rsidRPr="0073797E">
              <w:t>2226 (19.8)</w:t>
            </w:r>
          </w:p>
        </w:tc>
      </w:tr>
      <w:tr w:rsidR="00D85459" w:rsidRPr="0073797E" w14:paraId="377AF142" w14:textId="77777777" w:rsidTr="005E50DE">
        <w:trPr>
          <w:trHeight w:val="274"/>
        </w:trPr>
        <w:tc>
          <w:tcPr>
            <w:tcW w:w="1473" w:type="pct"/>
          </w:tcPr>
          <w:p w14:paraId="0F265573" w14:textId="77777777" w:rsidR="00D85459" w:rsidRPr="0073797E" w:rsidRDefault="00D85459" w:rsidP="005E50DE">
            <w:pPr>
              <w:spacing w:line="276" w:lineRule="auto"/>
            </w:pPr>
            <w:r w:rsidRPr="0073797E">
              <w:t xml:space="preserve">      Asian</w:t>
            </w:r>
          </w:p>
        </w:tc>
        <w:tc>
          <w:tcPr>
            <w:tcW w:w="941" w:type="pct"/>
          </w:tcPr>
          <w:p w14:paraId="4CA8DABE" w14:textId="77777777" w:rsidR="00D85459" w:rsidRPr="0073797E" w:rsidRDefault="00D85459" w:rsidP="005E50DE">
            <w:pPr>
              <w:spacing w:line="276" w:lineRule="auto"/>
              <w:jc w:val="center"/>
            </w:pPr>
            <w:r w:rsidRPr="0073797E">
              <w:t>3 (.7)</w:t>
            </w:r>
          </w:p>
        </w:tc>
        <w:tc>
          <w:tcPr>
            <w:tcW w:w="1293" w:type="pct"/>
          </w:tcPr>
          <w:p w14:paraId="04DC8D2F" w14:textId="77777777" w:rsidR="00D85459" w:rsidRPr="0073797E" w:rsidRDefault="00D85459" w:rsidP="005E50DE">
            <w:pPr>
              <w:spacing w:line="276" w:lineRule="auto"/>
              <w:jc w:val="center"/>
            </w:pPr>
            <w:r w:rsidRPr="0073797E">
              <w:t>241 (2.2)</w:t>
            </w:r>
          </w:p>
        </w:tc>
        <w:tc>
          <w:tcPr>
            <w:tcW w:w="1293" w:type="pct"/>
          </w:tcPr>
          <w:p w14:paraId="1C20F59B" w14:textId="77777777" w:rsidR="00D85459" w:rsidRPr="0073797E" w:rsidRDefault="00D85459" w:rsidP="005E50DE">
            <w:pPr>
              <w:spacing w:line="276" w:lineRule="auto"/>
              <w:jc w:val="center"/>
            </w:pPr>
            <w:r w:rsidRPr="0073797E">
              <w:t>246 (2.2)</w:t>
            </w:r>
          </w:p>
        </w:tc>
      </w:tr>
      <w:tr w:rsidR="00D85459" w:rsidRPr="0073797E" w14:paraId="2FC5B94C" w14:textId="77777777" w:rsidTr="005E50DE">
        <w:trPr>
          <w:trHeight w:val="274"/>
        </w:trPr>
        <w:tc>
          <w:tcPr>
            <w:tcW w:w="1473" w:type="pct"/>
          </w:tcPr>
          <w:p w14:paraId="0286426D" w14:textId="77777777" w:rsidR="00D85459" w:rsidRPr="0073797E" w:rsidRDefault="00D85459" w:rsidP="005E50DE">
            <w:pPr>
              <w:spacing w:line="276" w:lineRule="auto"/>
            </w:pPr>
            <w:r w:rsidRPr="0073797E">
              <w:t xml:space="preserve">      Other/Unknown</w:t>
            </w:r>
          </w:p>
        </w:tc>
        <w:tc>
          <w:tcPr>
            <w:tcW w:w="941" w:type="pct"/>
          </w:tcPr>
          <w:p w14:paraId="73AF1414" w14:textId="77777777" w:rsidR="00D85459" w:rsidRPr="0073797E" w:rsidRDefault="00D85459" w:rsidP="005E50DE">
            <w:pPr>
              <w:spacing w:line="276" w:lineRule="auto"/>
              <w:jc w:val="center"/>
            </w:pPr>
            <w:r w:rsidRPr="0073797E">
              <w:t>47 (10.8)</w:t>
            </w:r>
          </w:p>
        </w:tc>
        <w:tc>
          <w:tcPr>
            <w:tcW w:w="1293" w:type="pct"/>
          </w:tcPr>
          <w:p w14:paraId="1EA24439" w14:textId="77777777" w:rsidR="00D85459" w:rsidRPr="0073797E" w:rsidRDefault="00D85459" w:rsidP="005E50DE">
            <w:pPr>
              <w:spacing w:line="276" w:lineRule="auto"/>
              <w:jc w:val="center"/>
            </w:pPr>
            <w:r w:rsidRPr="0073797E">
              <w:t>1129 (10.5)</w:t>
            </w:r>
          </w:p>
        </w:tc>
        <w:tc>
          <w:tcPr>
            <w:tcW w:w="1293" w:type="pct"/>
          </w:tcPr>
          <w:p w14:paraId="521FF9F9" w14:textId="77777777" w:rsidR="00D85459" w:rsidRPr="0073797E" w:rsidRDefault="00D85459" w:rsidP="005E50DE">
            <w:pPr>
              <w:spacing w:line="276" w:lineRule="auto"/>
              <w:jc w:val="center"/>
            </w:pPr>
            <w:r w:rsidRPr="0073797E">
              <w:t>1180 (10.5)</w:t>
            </w:r>
          </w:p>
        </w:tc>
      </w:tr>
      <w:tr w:rsidR="00D85459" w:rsidRPr="0073797E" w14:paraId="6C90EF0C" w14:textId="77777777" w:rsidTr="005E50DE">
        <w:trPr>
          <w:trHeight w:val="274"/>
        </w:trPr>
        <w:tc>
          <w:tcPr>
            <w:tcW w:w="1473" w:type="pct"/>
          </w:tcPr>
          <w:p w14:paraId="4F626B68" w14:textId="77777777" w:rsidR="00D85459" w:rsidRPr="0073797E" w:rsidRDefault="00D85459" w:rsidP="005E50DE">
            <w:pPr>
              <w:spacing w:line="276" w:lineRule="auto"/>
            </w:pPr>
            <w:r w:rsidRPr="0073797E">
              <w:t>Sexual and Gender Minority Status</w:t>
            </w:r>
          </w:p>
        </w:tc>
        <w:tc>
          <w:tcPr>
            <w:tcW w:w="941" w:type="pct"/>
          </w:tcPr>
          <w:p w14:paraId="0DBF439C" w14:textId="77777777" w:rsidR="00D85459" w:rsidRPr="0073797E" w:rsidRDefault="00D85459" w:rsidP="005E50DE">
            <w:pPr>
              <w:spacing w:line="276" w:lineRule="auto"/>
              <w:jc w:val="center"/>
            </w:pPr>
          </w:p>
        </w:tc>
        <w:tc>
          <w:tcPr>
            <w:tcW w:w="1293" w:type="pct"/>
          </w:tcPr>
          <w:p w14:paraId="7D916E71" w14:textId="77777777" w:rsidR="00D85459" w:rsidRPr="0073797E" w:rsidRDefault="00D85459" w:rsidP="005E50DE">
            <w:pPr>
              <w:spacing w:line="276" w:lineRule="auto"/>
              <w:jc w:val="center"/>
            </w:pPr>
          </w:p>
        </w:tc>
        <w:tc>
          <w:tcPr>
            <w:tcW w:w="1293" w:type="pct"/>
          </w:tcPr>
          <w:p w14:paraId="4F46DCC9" w14:textId="77777777" w:rsidR="00D85459" w:rsidRPr="0073797E" w:rsidRDefault="00D85459" w:rsidP="005E50DE">
            <w:pPr>
              <w:spacing w:line="276" w:lineRule="auto"/>
              <w:jc w:val="center"/>
            </w:pPr>
          </w:p>
        </w:tc>
      </w:tr>
      <w:tr w:rsidR="00D85459" w:rsidRPr="0073797E" w14:paraId="2E05905C" w14:textId="77777777" w:rsidTr="005E50DE">
        <w:trPr>
          <w:trHeight w:val="274"/>
        </w:trPr>
        <w:tc>
          <w:tcPr>
            <w:tcW w:w="1473" w:type="pct"/>
          </w:tcPr>
          <w:p w14:paraId="0F2F8C02" w14:textId="77777777" w:rsidR="00D85459" w:rsidRPr="0073797E" w:rsidRDefault="00D85459" w:rsidP="005E50DE">
            <w:pPr>
              <w:spacing w:line="276" w:lineRule="auto"/>
            </w:pPr>
            <w:r w:rsidRPr="0073797E">
              <w:t xml:space="preserve">       Sexual Minority</w:t>
            </w:r>
          </w:p>
        </w:tc>
        <w:tc>
          <w:tcPr>
            <w:tcW w:w="941" w:type="pct"/>
          </w:tcPr>
          <w:p w14:paraId="2E1AEAE4" w14:textId="77777777" w:rsidR="00D85459" w:rsidRPr="0073797E" w:rsidRDefault="00D85459" w:rsidP="005E50DE">
            <w:pPr>
              <w:spacing w:line="276" w:lineRule="auto"/>
              <w:jc w:val="center"/>
            </w:pPr>
            <w:r w:rsidRPr="0073797E">
              <w:t>391 (89.7)</w:t>
            </w:r>
          </w:p>
        </w:tc>
        <w:tc>
          <w:tcPr>
            <w:tcW w:w="1293" w:type="pct"/>
          </w:tcPr>
          <w:p w14:paraId="59B1EF37" w14:textId="77777777" w:rsidR="00D85459" w:rsidRPr="0073797E" w:rsidRDefault="00D85459" w:rsidP="005E50DE">
            <w:pPr>
              <w:spacing w:line="276" w:lineRule="auto"/>
              <w:jc w:val="center"/>
            </w:pPr>
            <w:r w:rsidRPr="0073797E">
              <w:t>---</w:t>
            </w:r>
          </w:p>
        </w:tc>
        <w:tc>
          <w:tcPr>
            <w:tcW w:w="1293" w:type="pct"/>
          </w:tcPr>
          <w:p w14:paraId="1A32E846" w14:textId="77777777" w:rsidR="00D85459" w:rsidRPr="0073797E" w:rsidRDefault="00D85459" w:rsidP="005E50DE">
            <w:pPr>
              <w:spacing w:line="276" w:lineRule="auto"/>
              <w:jc w:val="center"/>
            </w:pPr>
            <w:r w:rsidRPr="0073797E">
              <w:t>391 (3.5)</w:t>
            </w:r>
          </w:p>
        </w:tc>
      </w:tr>
      <w:tr w:rsidR="00D85459" w:rsidRPr="0073797E" w14:paraId="17EF1181" w14:textId="77777777" w:rsidTr="005E50DE">
        <w:trPr>
          <w:trHeight w:val="274"/>
        </w:trPr>
        <w:tc>
          <w:tcPr>
            <w:tcW w:w="1473" w:type="pct"/>
          </w:tcPr>
          <w:p w14:paraId="267FE57A" w14:textId="77777777" w:rsidR="00D85459" w:rsidRPr="0073797E" w:rsidRDefault="00D85459" w:rsidP="005E50DE">
            <w:pPr>
              <w:spacing w:line="276" w:lineRule="auto"/>
            </w:pPr>
            <w:r w:rsidRPr="0073797E">
              <w:t xml:space="preserve">       Gender Minority</w:t>
            </w:r>
          </w:p>
        </w:tc>
        <w:tc>
          <w:tcPr>
            <w:tcW w:w="941" w:type="pct"/>
          </w:tcPr>
          <w:p w14:paraId="13933AD0" w14:textId="77777777" w:rsidR="00D85459" w:rsidRPr="0073797E" w:rsidRDefault="00D85459" w:rsidP="005E50DE">
            <w:pPr>
              <w:spacing w:line="276" w:lineRule="auto"/>
              <w:jc w:val="center"/>
            </w:pPr>
            <w:r w:rsidRPr="0073797E">
              <w:t>99 (22.7)</w:t>
            </w:r>
          </w:p>
        </w:tc>
        <w:tc>
          <w:tcPr>
            <w:tcW w:w="1293" w:type="pct"/>
          </w:tcPr>
          <w:p w14:paraId="1243E79A" w14:textId="77777777" w:rsidR="00D85459" w:rsidRPr="0073797E" w:rsidRDefault="00D85459" w:rsidP="005E50DE">
            <w:pPr>
              <w:spacing w:line="276" w:lineRule="auto"/>
              <w:jc w:val="center"/>
            </w:pPr>
            <w:r w:rsidRPr="0073797E">
              <w:t>---</w:t>
            </w:r>
          </w:p>
        </w:tc>
        <w:tc>
          <w:tcPr>
            <w:tcW w:w="1293" w:type="pct"/>
          </w:tcPr>
          <w:p w14:paraId="5218AE99" w14:textId="77777777" w:rsidR="00D85459" w:rsidRPr="0073797E" w:rsidRDefault="00D85459" w:rsidP="005E50DE">
            <w:pPr>
              <w:spacing w:line="276" w:lineRule="auto"/>
              <w:jc w:val="center"/>
            </w:pPr>
            <w:r w:rsidRPr="0073797E">
              <w:t>99 (.9)</w:t>
            </w:r>
          </w:p>
        </w:tc>
      </w:tr>
      <w:tr w:rsidR="00D85459" w:rsidRPr="0073797E" w14:paraId="7E2DECE9" w14:textId="77777777" w:rsidTr="005E50DE">
        <w:trPr>
          <w:trHeight w:val="274"/>
        </w:trPr>
        <w:tc>
          <w:tcPr>
            <w:tcW w:w="1473" w:type="pct"/>
          </w:tcPr>
          <w:p w14:paraId="497F473F" w14:textId="77777777" w:rsidR="00D85459" w:rsidRPr="0073797E" w:rsidRDefault="00D85459" w:rsidP="005E50DE">
            <w:pPr>
              <w:spacing w:line="276" w:lineRule="auto"/>
            </w:pPr>
            <w:r w:rsidRPr="0073797E">
              <w:t>Lifetime Suicidal Behaviors Reported</w:t>
            </w:r>
          </w:p>
        </w:tc>
        <w:tc>
          <w:tcPr>
            <w:tcW w:w="941" w:type="pct"/>
          </w:tcPr>
          <w:p w14:paraId="32DD1D5F" w14:textId="77777777" w:rsidR="00D85459" w:rsidRPr="0073797E" w:rsidRDefault="00D85459" w:rsidP="005E50DE">
            <w:pPr>
              <w:spacing w:line="276" w:lineRule="auto"/>
              <w:jc w:val="center"/>
            </w:pPr>
            <w:r w:rsidRPr="0073797E">
              <w:t>32 (7.3)</w:t>
            </w:r>
          </w:p>
        </w:tc>
        <w:tc>
          <w:tcPr>
            <w:tcW w:w="1293" w:type="pct"/>
          </w:tcPr>
          <w:p w14:paraId="67BC850C" w14:textId="77777777" w:rsidR="00D85459" w:rsidRPr="0073797E" w:rsidRDefault="00D85459" w:rsidP="005E50DE">
            <w:pPr>
              <w:spacing w:line="276" w:lineRule="auto"/>
              <w:jc w:val="center"/>
            </w:pPr>
            <w:r w:rsidRPr="0073797E">
              <w:t>132 (1.2)</w:t>
            </w:r>
          </w:p>
        </w:tc>
        <w:tc>
          <w:tcPr>
            <w:tcW w:w="1293" w:type="pct"/>
          </w:tcPr>
          <w:p w14:paraId="46491EC3" w14:textId="77777777" w:rsidR="00D85459" w:rsidRPr="0073797E" w:rsidRDefault="00D85459" w:rsidP="005E50DE">
            <w:pPr>
              <w:spacing w:line="276" w:lineRule="auto"/>
              <w:jc w:val="center"/>
            </w:pPr>
            <w:r w:rsidRPr="0073797E">
              <w:t>164 (1.5)</w:t>
            </w:r>
          </w:p>
        </w:tc>
      </w:tr>
      <w:tr w:rsidR="00D85459" w:rsidRPr="0073797E" w14:paraId="41643DFB" w14:textId="77777777" w:rsidTr="005E50DE">
        <w:trPr>
          <w:trHeight w:val="274"/>
        </w:trPr>
        <w:tc>
          <w:tcPr>
            <w:tcW w:w="1473" w:type="pct"/>
            <w:tcBorders>
              <w:bottom w:val="single" w:sz="4" w:space="0" w:color="FFFFFF" w:themeColor="background1"/>
            </w:tcBorders>
          </w:tcPr>
          <w:p w14:paraId="42E6B130" w14:textId="77777777" w:rsidR="00D85459" w:rsidRPr="0073797E" w:rsidRDefault="00D85459" w:rsidP="005E50DE">
            <w:pPr>
              <w:spacing w:line="276" w:lineRule="auto"/>
            </w:pPr>
          </w:p>
        </w:tc>
        <w:tc>
          <w:tcPr>
            <w:tcW w:w="941" w:type="pct"/>
            <w:tcBorders>
              <w:bottom w:val="single" w:sz="4" w:space="0" w:color="auto"/>
            </w:tcBorders>
          </w:tcPr>
          <w:p w14:paraId="272852BC" w14:textId="77777777" w:rsidR="00D85459" w:rsidRPr="0073797E" w:rsidRDefault="00D85459" w:rsidP="005E50DE">
            <w:pPr>
              <w:spacing w:line="276" w:lineRule="auto"/>
              <w:jc w:val="center"/>
              <w:rPr>
                <w:b/>
              </w:rPr>
            </w:pPr>
          </w:p>
        </w:tc>
        <w:tc>
          <w:tcPr>
            <w:tcW w:w="1293" w:type="pct"/>
            <w:tcBorders>
              <w:bottom w:val="single" w:sz="4" w:space="0" w:color="auto"/>
            </w:tcBorders>
          </w:tcPr>
          <w:p w14:paraId="50FAB709" w14:textId="77777777" w:rsidR="00D85459" w:rsidRPr="0073797E" w:rsidRDefault="00D85459" w:rsidP="005E50DE">
            <w:pPr>
              <w:spacing w:line="276" w:lineRule="auto"/>
              <w:jc w:val="center"/>
              <w:rPr>
                <w:b/>
              </w:rPr>
            </w:pPr>
          </w:p>
        </w:tc>
        <w:tc>
          <w:tcPr>
            <w:tcW w:w="1293" w:type="pct"/>
            <w:tcBorders>
              <w:bottom w:val="single" w:sz="4" w:space="0" w:color="auto"/>
            </w:tcBorders>
          </w:tcPr>
          <w:p w14:paraId="3D4CABB6" w14:textId="77777777" w:rsidR="00D85459" w:rsidRPr="0073797E" w:rsidRDefault="00D85459" w:rsidP="005E50DE">
            <w:pPr>
              <w:spacing w:line="276" w:lineRule="auto"/>
              <w:jc w:val="center"/>
              <w:rPr>
                <w:b/>
              </w:rPr>
            </w:pPr>
          </w:p>
        </w:tc>
      </w:tr>
      <w:tr w:rsidR="00D85459" w:rsidRPr="0073797E" w14:paraId="57BAC409" w14:textId="77777777" w:rsidTr="005E50DE">
        <w:trPr>
          <w:trHeight w:val="274"/>
        </w:trPr>
        <w:tc>
          <w:tcPr>
            <w:tcW w:w="1473" w:type="pct"/>
            <w:tcBorders>
              <w:top w:val="single" w:sz="4" w:space="0" w:color="FFFFFF" w:themeColor="background1"/>
              <w:bottom w:val="single" w:sz="4" w:space="0" w:color="FFFFFF" w:themeColor="background1"/>
            </w:tcBorders>
          </w:tcPr>
          <w:p w14:paraId="3DAAB05C" w14:textId="77777777" w:rsidR="00D85459" w:rsidRPr="0073797E" w:rsidRDefault="00D85459" w:rsidP="005E50DE">
            <w:pPr>
              <w:spacing w:line="276" w:lineRule="auto"/>
            </w:pPr>
          </w:p>
        </w:tc>
        <w:tc>
          <w:tcPr>
            <w:tcW w:w="941" w:type="pct"/>
            <w:tcBorders>
              <w:bottom w:val="single" w:sz="4" w:space="0" w:color="auto"/>
            </w:tcBorders>
          </w:tcPr>
          <w:p w14:paraId="583C7BA8" w14:textId="77777777" w:rsidR="00D85459" w:rsidRPr="0073797E" w:rsidRDefault="00D85459" w:rsidP="005E50DE">
            <w:pPr>
              <w:spacing w:line="276" w:lineRule="auto"/>
              <w:jc w:val="center"/>
              <w:rPr>
                <w:b/>
              </w:rPr>
            </w:pPr>
            <w:r w:rsidRPr="0073797E">
              <w:rPr>
                <w:b/>
              </w:rPr>
              <w:t>M ± SD</w:t>
            </w:r>
          </w:p>
        </w:tc>
        <w:tc>
          <w:tcPr>
            <w:tcW w:w="1293" w:type="pct"/>
            <w:tcBorders>
              <w:bottom w:val="single" w:sz="4" w:space="0" w:color="auto"/>
            </w:tcBorders>
          </w:tcPr>
          <w:p w14:paraId="2360CBC0" w14:textId="77777777" w:rsidR="00D85459" w:rsidRPr="0073797E" w:rsidRDefault="00D85459" w:rsidP="005E50DE">
            <w:pPr>
              <w:spacing w:line="276" w:lineRule="auto"/>
              <w:jc w:val="center"/>
              <w:rPr>
                <w:b/>
              </w:rPr>
            </w:pPr>
            <w:r w:rsidRPr="0073797E">
              <w:rPr>
                <w:b/>
              </w:rPr>
              <w:t>M ± SD</w:t>
            </w:r>
          </w:p>
        </w:tc>
        <w:tc>
          <w:tcPr>
            <w:tcW w:w="1293" w:type="pct"/>
            <w:tcBorders>
              <w:bottom w:val="single" w:sz="4" w:space="0" w:color="auto"/>
            </w:tcBorders>
          </w:tcPr>
          <w:p w14:paraId="537557EB" w14:textId="77777777" w:rsidR="00D85459" w:rsidRPr="0073797E" w:rsidRDefault="00D85459" w:rsidP="005E50DE">
            <w:pPr>
              <w:spacing w:line="276" w:lineRule="auto"/>
              <w:jc w:val="center"/>
            </w:pPr>
            <w:r w:rsidRPr="0073797E">
              <w:rPr>
                <w:b/>
              </w:rPr>
              <w:t>M ± SD</w:t>
            </w:r>
          </w:p>
        </w:tc>
      </w:tr>
      <w:tr w:rsidR="00D85459" w:rsidRPr="0073797E" w14:paraId="5D602752" w14:textId="77777777" w:rsidTr="005E50DE">
        <w:trPr>
          <w:trHeight w:val="274"/>
        </w:trPr>
        <w:tc>
          <w:tcPr>
            <w:tcW w:w="1473" w:type="pct"/>
            <w:tcBorders>
              <w:top w:val="single" w:sz="4" w:space="0" w:color="FFFFFF" w:themeColor="background1"/>
            </w:tcBorders>
          </w:tcPr>
          <w:p w14:paraId="32FF7C2A" w14:textId="77777777" w:rsidR="00D85459" w:rsidRPr="0073797E" w:rsidRDefault="00D85459" w:rsidP="005E50DE">
            <w:pPr>
              <w:spacing w:line="276" w:lineRule="auto"/>
            </w:pPr>
            <w:r w:rsidRPr="0073797E">
              <w:t xml:space="preserve">Age (y) </w:t>
            </w:r>
          </w:p>
        </w:tc>
        <w:tc>
          <w:tcPr>
            <w:tcW w:w="941" w:type="pct"/>
            <w:tcBorders>
              <w:top w:val="single" w:sz="4" w:space="0" w:color="auto"/>
            </w:tcBorders>
          </w:tcPr>
          <w:p w14:paraId="0E4B2A82" w14:textId="77777777" w:rsidR="00D85459" w:rsidRPr="0073797E" w:rsidRDefault="00D85459" w:rsidP="005E50DE">
            <w:pPr>
              <w:spacing w:line="276" w:lineRule="auto"/>
              <w:jc w:val="center"/>
            </w:pPr>
            <w:r w:rsidRPr="0073797E">
              <w:t>11.02 ± .65</w:t>
            </w:r>
          </w:p>
        </w:tc>
        <w:tc>
          <w:tcPr>
            <w:tcW w:w="1293" w:type="pct"/>
            <w:tcBorders>
              <w:top w:val="single" w:sz="4" w:space="0" w:color="auto"/>
            </w:tcBorders>
          </w:tcPr>
          <w:p w14:paraId="74AA6922" w14:textId="77777777" w:rsidR="00D85459" w:rsidRPr="0073797E" w:rsidRDefault="00D85459" w:rsidP="005E50DE">
            <w:pPr>
              <w:spacing w:line="276" w:lineRule="auto"/>
              <w:jc w:val="center"/>
            </w:pPr>
            <w:r w:rsidRPr="0073797E">
              <w:t>10.91 ± .64</w:t>
            </w:r>
          </w:p>
        </w:tc>
        <w:tc>
          <w:tcPr>
            <w:tcW w:w="1293" w:type="pct"/>
            <w:tcBorders>
              <w:top w:val="single" w:sz="4" w:space="0" w:color="auto"/>
            </w:tcBorders>
          </w:tcPr>
          <w:p w14:paraId="48902820" w14:textId="77777777" w:rsidR="00D85459" w:rsidRPr="0073797E" w:rsidRDefault="00D85459" w:rsidP="005E50DE">
            <w:pPr>
              <w:spacing w:line="276" w:lineRule="auto"/>
              <w:jc w:val="center"/>
            </w:pPr>
            <w:r w:rsidRPr="0073797E">
              <w:t>10.9 ± .64</w:t>
            </w:r>
          </w:p>
        </w:tc>
      </w:tr>
      <w:tr w:rsidR="00D85459" w:rsidRPr="0073797E" w14:paraId="5DEA01D8" w14:textId="77777777" w:rsidTr="005E50DE">
        <w:trPr>
          <w:trHeight w:val="274"/>
        </w:trPr>
        <w:tc>
          <w:tcPr>
            <w:tcW w:w="1473" w:type="pct"/>
          </w:tcPr>
          <w:p w14:paraId="4CD14A82" w14:textId="77777777" w:rsidR="00D85459" w:rsidRPr="0073797E" w:rsidRDefault="00D85459" w:rsidP="005E50DE">
            <w:pPr>
              <w:spacing w:line="276" w:lineRule="auto"/>
            </w:pPr>
            <w:r w:rsidRPr="0073797E">
              <w:t>Family Conflict (Range: 0 ‒ 9)</w:t>
            </w:r>
          </w:p>
        </w:tc>
        <w:tc>
          <w:tcPr>
            <w:tcW w:w="941" w:type="pct"/>
          </w:tcPr>
          <w:p w14:paraId="14242F47" w14:textId="77777777" w:rsidR="00D85459" w:rsidRPr="0073797E" w:rsidRDefault="00D85459" w:rsidP="005E50DE">
            <w:pPr>
              <w:spacing w:line="276" w:lineRule="auto"/>
              <w:jc w:val="center"/>
            </w:pPr>
            <w:r w:rsidRPr="0073797E">
              <w:t>2.29 ± 1.99</w:t>
            </w:r>
          </w:p>
        </w:tc>
        <w:tc>
          <w:tcPr>
            <w:tcW w:w="1293" w:type="pct"/>
          </w:tcPr>
          <w:p w14:paraId="4B36664C" w14:textId="77777777" w:rsidR="00D85459" w:rsidRPr="0073797E" w:rsidRDefault="00D85459" w:rsidP="005E50DE">
            <w:pPr>
              <w:spacing w:line="276" w:lineRule="auto"/>
              <w:jc w:val="center"/>
            </w:pPr>
            <w:r w:rsidRPr="0073797E">
              <w:t>1.90 ± 1.87</w:t>
            </w:r>
          </w:p>
        </w:tc>
        <w:tc>
          <w:tcPr>
            <w:tcW w:w="1293" w:type="pct"/>
          </w:tcPr>
          <w:p w14:paraId="00FF5199" w14:textId="77777777" w:rsidR="00D85459" w:rsidRPr="0073797E" w:rsidRDefault="00D85459" w:rsidP="005E50DE">
            <w:pPr>
              <w:spacing w:line="276" w:lineRule="auto"/>
              <w:jc w:val="center"/>
            </w:pPr>
            <w:r w:rsidRPr="0073797E">
              <w:t>1.9 ± 1.9</w:t>
            </w:r>
          </w:p>
        </w:tc>
      </w:tr>
      <w:tr w:rsidR="00D85459" w:rsidRPr="0073797E" w14:paraId="5C589BED" w14:textId="77777777" w:rsidTr="005E50DE">
        <w:trPr>
          <w:trHeight w:val="274"/>
        </w:trPr>
        <w:tc>
          <w:tcPr>
            <w:tcW w:w="1473" w:type="pct"/>
            <w:tcBorders>
              <w:bottom w:val="single" w:sz="4" w:space="0" w:color="auto"/>
            </w:tcBorders>
          </w:tcPr>
          <w:p w14:paraId="75559C33" w14:textId="77777777" w:rsidR="00D85459" w:rsidRPr="0073797E" w:rsidRDefault="00D85459" w:rsidP="005E50DE">
            <w:pPr>
              <w:spacing w:line="276" w:lineRule="auto"/>
            </w:pPr>
            <w:r w:rsidRPr="0073797E">
              <w:t>Family Acceptance (Range: 5‒ 15)</w:t>
            </w:r>
          </w:p>
        </w:tc>
        <w:tc>
          <w:tcPr>
            <w:tcW w:w="941" w:type="pct"/>
            <w:tcBorders>
              <w:bottom w:val="single" w:sz="4" w:space="0" w:color="auto"/>
            </w:tcBorders>
          </w:tcPr>
          <w:p w14:paraId="705648EF" w14:textId="77777777" w:rsidR="00D85459" w:rsidRPr="0073797E" w:rsidRDefault="00D85459" w:rsidP="005E50DE">
            <w:pPr>
              <w:spacing w:line="276" w:lineRule="auto"/>
              <w:jc w:val="center"/>
            </w:pPr>
            <w:r w:rsidRPr="0073797E">
              <w:t>13.59 ± 1.72</w:t>
            </w:r>
          </w:p>
        </w:tc>
        <w:tc>
          <w:tcPr>
            <w:tcW w:w="1293" w:type="pct"/>
            <w:tcBorders>
              <w:bottom w:val="single" w:sz="4" w:space="0" w:color="auto"/>
            </w:tcBorders>
          </w:tcPr>
          <w:p w14:paraId="3938F522" w14:textId="77777777" w:rsidR="00D85459" w:rsidRPr="0073797E" w:rsidRDefault="00D85459" w:rsidP="005E50DE">
            <w:pPr>
              <w:spacing w:line="276" w:lineRule="auto"/>
              <w:jc w:val="center"/>
            </w:pPr>
            <w:r w:rsidRPr="0073797E">
              <w:t>14.04 ± 1.42</w:t>
            </w:r>
          </w:p>
        </w:tc>
        <w:tc>
          <w:tcPr>
            <w:tcW w:w="1293" w:type="pct"/>
            <w:tcBorders>
              <w:bottom w:val="single" w:sz="4" w:space="0" w:color="auto"/>
            </w:tcBorders>
          </w:tcPr>
          <w:p w14:paraId="5920DA03" w14:textId="77777777" w:rsidR="00D85459" w:rsidRPr="0073797E" w:rsidRDefault="00D85459" w:rsidP="005E50DE">
            <w:pPr>
              <w:spacing w:line="276" w:lineRule="auto"/>
              <w:jc w:val="center"/>
            </w:pPr>
            <w:r w:rsidRPr="0073797E">
              <w:t>14 ± 1.4</w:t>
            </w:r>
          </w:p>
        </w:tc>
      </w:tr>
    </w:tbl>
    <w:p w14:paraId="4E62B015" w14:textId="77777777" w:rsidR="00D85459" w:rsidRPr="0073797E" w:rsidRDefault="00D85459" w:rsidP="00D85459">
      <w:pPr>
        <w:rPr>
          <w:b/>
        </w:rPr>
      </w:pPr>
    </w:p>
    <w:p w14:paraId="3B09FF6E" w14:textId="77777777" w:rsidR="00D85459" w:rsidRPr="0073797E" w:rsidRDefault="00D85459" w:rsidP="00D85459">
      <w:r w:rsidRPr="0073797E">
        <w:rPr>
          <w:b/>
        </w:rPr>
        <w:t xml:space="preserve">Note: </w:t>
      </w:r>
      <w:r>
        <w:rPr>
          <w:b/>
          <w:vertAlign w:val="superscript"/>
        </w:rPr>
        <w:t>a</w:t>
      </w:r>
      <w:r w:rsidRPr="0073797E">
        <w:rPr>
          <w:b/>
          <w:vertAlign w:val="superscript"/>
        </w:rPr>
        <w:t xml:space="preserve"> </w:t>
      </w:r>
      <w:r w:rsidRPr="0073797E">
        <w:t>as reported by parent/guardian</w:t>
      </w:r>
    </w:p>
    <w:p w14:paraId="0998E4B9" w14:textId="77777777" w:rsidR="00D85459" w:rsidRPr="0073797E" w:rsidRDefault="00D85459" w:rsidP="00D85459">
      <w:r>
        <w:t>SGM – Sexual or gender minority</w:t>
      </w:r>
    </w:p>
    <w:p w14:paraId="6339C91E" w14:textId="3AE575B7" w:rsidR="00DA199E" w:rsidRPr="00D85459" w:rsidRDefault="00DA199E" w:rsidP="00E179D1">
      <w:pPr>
        <w:pStyle w:val="NoSpacing"/>
        <w:rPr>
          <w:rFonts w:eastAsiaTheme="minorHAnsi"/>
          <w:b/>
        </w:rPr>
      </w:pPr>
    </w:p>
    <w:p w14:paraId="0FE1C3F3" w14:textId="77777777" w:rsidR="00DA199E" w:rsidRDefault="00DA199E" w:rsidP="00E179D1">
      <w:pPr>
        <w:pStyle w:val="NoSpacing"/>
        <w:rPr>
          <w:rFonts w:eastAsiaTheme="minorHAnsi"/>
        </w:rPr>
      </w:pPr>
    </w:p>
    <w:p w14:paraId="38959E4A" w14:textId="14DFF00A" w:rsidR="00DA199E" w:rsidRDefault="00DA199E" w:rsidP="00E179D1">
      <w:pPr>
        <w:pStyle w:val="NoSpacing"/>
        <w:rPr>
          <w:rFonts w:eastAsiaTheme="minorHAnsi"/>
        </w:rPr>
      </w:pPr>
    </w:p>
    <w:p w14:paraId="6E085CF6" w14:textId="7B675A84" w:rsidR="00D85459" w:rsidRDefault="00D85459" w:rsidP="00E179D1">
      <w:pPr>
        <w:pStyle w:val="NoSpacing"/>
        <w:rPr>
          <w:rFonts w:eastAsiaTheme="minorHAnsi"/>
        </w:rPr>
      </w:pPr>
    </w:p>
    <w:p w14:paraId="4708804D" w14:textId="6476F8E6" w:rsidR="00D85459" w:rsidRDefault="00D85459" w:rsidP="00E179D1">
      <w:pPr>
        <w:pStyle w:val="NoSpacing"/>
        <w:rPr>
          <w:rFonts w:eastAsiaTheme="minorHAnsi"/>
        </w:rPr>
      </w:pPr>
    </w:p>
    <w:p w14:paraId="43376DD1" w14:textId="3A7FE30B" w:rsidR="00D85459" w:rsidRDefault="00D85459" w:rsidP="00E179D1">
      <w:pPr>
        <w:pStyle w:val="NoSpacing"/>
        <w:rPr>
          <w:rFonts w:eastAsiaTheme="minorHAnsi"/>
        </w:rPr>
      </w:pPr>
    </w:p>
    <w:p w14:paraId="5735E7B3" w14:textId="751618F2" w:rsidR="00D85459" w:rsidRDefault="00D85459" w:rsidP="00E179D1">
      <w:pPr>
        <w:pStyle w:val="NoSpacing"/>
        <w:rPr>
          <w:rFonts w:eastAsiaTheme="minorHAnsi"/>
        </w:rPr>
      </w:pPr>
    </w:p>
    <w:p w14:paraId="6BC7EFAD" w14:textId="47AD7394" w:rsidR="00D85459" w:rsidRDefault="00D85459" w:rsidP="00E179D1">
      <w:pPr>
        <w:pStyle w:val="NoSpacing"/>
        <w:rPr>
          <w:rFonts w:eastAsiaTheme="minorHAnsi"/>
        </w:rPr>
      </w:pPr>
    </w:p>
    <w:p w14:paraId="6437D1E6" w14:textId="41BA6347" w:rsidR="00D85459" w:rsidRDefault="00D85459" w:rsidP="00E179D1">
      <w:pPr>
        <w:pStyle w:val="NoSpacing"/>
        <w:rPr>
          <w:rFonts w:eastAsiaTheme="minorHAnsi"/>
        </w:rPr>
      </w:pPr>
    </w:p>
    <w:p w14:paraId="267F75AF" w14:textId="7C2807F7" w:rsidR="00D85459" w:rsidRDefault="00D85459" w:rsidP="00E179D1">
      <w:pPr>
        <w:pStyle w:val="NoSpacing"/>
        <w:rPr>
          <w:rFonts w:eastAsiaTheme="minorHAnsi"/>
        </w:rPr>
      </w:pPr>
    </w:p>
    <w:p w14:paraId="26C68AAA" w14:textId="488A9C13" w:rsidR="00D85459" w:rsidRDefault="00D85459" w:rsidP="00E179D1">
      <w:pPr>
        <w:pStyle w:val="NoSpacing"/>
        <w:rPr>
          <w:rFonts w:eastAsiaTheme="minorHAnsi"/>
        </w:rPr>
      </w:pPr>
    </w:p>
    <w:p w14:paraId="089266D6" w14:textId="50534AD1" w:rsidR="00D85459" w:rsidRDefault="00D85459" w:rsidP="00E179D1">
      <w:pPr>
        <w:pStyle w:val="NoSpacing"/>
        <w:rPr>
          <w:rFonts w:eastAsiaTheme="minorHAnsi"/>
        </w:rPr>
      </w:pPr>
    </w:p>
    <w:p w14:paraId="266A243F" w14:textId="0BAD3F13" w:rsidR="00D85459" w:rsidRDefault="00D85459" w:rsidP="00E179D1">
      <w:pPr>
        <w:pStyle w:val="NoSpacing"/>
        <w:rPr>
          <w:rFonts w:eastAsiaTheme="minorHAnsi"/>
        </w:rPr>
      </w:pPr>
    </w:p>
    <w:p w14:paraId="105973E1" w14:textId="04A38554" w:rsidR="00D85459" w:rsidRDefault="00D85459" w:rsidP="00E179D1">
      <w:pPr>
        <w:pStyle w:val="NoSpacing"/>
        <w:rPr>
          <w:rFonts w:eastAsiaTheme="minorHAnsi"/>
        </w:rPr>
      </w:pPr>
    </w:p>
    <w:p w14:paraId="7EF91D8B" w14:textId="77777777" w:rsidR="00D85459" w:rsidRPr="0073797E" w:rsidRDefault="00D85459" w:rsidP="00D85459">
      <w:pPr>
        <w:rPr>
          <w:b/>
        </w:rPr>
      </w:pPr>
      <w:r>
        <w:rPr>
          <w:b/>
        </w:rPr>
        <w:lastRenderedPageBreak/>
        <w:t>Table</w:t>
      </w:r>
      <w:r w:rsidRPr="0073797E">
        <w:rPr>
          <w:b/>
        </w:rPr>
        <w:t xml:space="preserve">. </w:t>
      </w:r>
      <w:r w:rsidRPr="0073797E">
        <w:t>Sexual and Gender Minority Status and Lifetime Suicidal Behaviors through Family Acceptance and Conflict</w:t>
      </w:r>
    </w:p>
    <w:p w14:paraId="35EF5229" w14:textId="77777777" w:rsidR="00D85459" w:rsidRPr="0073797E" w:rsidRDefault="00D85459" w:rsidP="00D85459"/>
    <w:tbl>
      <w:tblPr>
        <w:tblW w:w="7696" w:type="dxa"/>
        <w:tblInd w:w="-5" w:type="dxa"/>
        <w:tblLook w:val="04A0" w:firstRow="1" w:lastRow="0" w:firstColumn="1" w:lastColumn="0" w:noHBand="0" w:noVBand="1"/>
      </w:tblPr>
      <w:tblGrid>
        <w:gridCol w:w="3695"/>
        <w:gridCol w:w="756"/>
        <w:gridCol w:w="990"/>
        <w:gridCol w:w="810"/>
        <w:gridCol w:w="1445"/>
      </w:tblGrid>
      <w:tr w:rsidR="00D85459" w:rsidRPr="0073797E" w14:paraId="6A87939B" w14:textId="77777777" w:rsidTr="005E50DE">
        <w:trPr>
          <w:trHeight w:val="296"/>
        </w:trPr>
        <w:tc>
          <w:tcPr>
            <w:tcW w:w="3695" w:type="dxa"/>
            <w:tcBorders>
              <w:top w:val="single" w:sz="4" w:space="0" w:color="auto"/>
              <w:bottom w:val="single" w:sz="4" w:space="0" w:color="auto"/>
            </w:tcBorders>
            <w:shd w:val="clear" w:color="auto" w:fill="auto"/>
            <w:noWrap/>
            <w:vAlign w:val="bottom"/>
            <w:hideMark/>
          </w:tcPr>
          <w:p w14:paraId="392FC1B1" w14:textId="77777777" w:rsidR="00D85459" w:rsidRPr="0073797E" w:rsidRDefault="00D85459" w:rsidP="005E50DE">
            <w:pPr>
              <w:jc w:val="center"/>
              <w:rPr>
                <w:color w:val="000000"/>
              </w:rPr>
            </w:pPr>
          </w:p>
        </w:tc>
        <w:tc>
          <w:tcPr>
            <w:tcW w:w="756" w:type="dxa"/>
            <w:tcBorders>
              <w:top w:val="single" w:sz="4" w:space="0" w:color="auto"/>
              <w:bottom w:val="single" w:sz="4" w:space="0" w:color="auto"/>
            </w:tcBorders>
            <w:shd w:val="clear" w:color="auto" w:fill="auto"/>
            <w:noWrap/>
            <w:vAlign w:val="bottom"/>
            <w:hideMark/>
          </w:tcPr>
          <w:p w14:paraId="7826721F" w14:textId="77777777" w:rsidR="00D85459" w:rsidRPr="0073797E" w:rsidRDefault="00D85459" w:rsidP="005E50DE">
            <w:pPr>
              <w:jc w:val="right"/>
              <w:rPr>
                <w:color w:val="000000"/>
              </w:rPr>
            </w:pPr>
            <w:r w:rsidRPr="0073797E">
              <w:rPr>
                <w:color w:val="000000"/>
              </w:rPr>
              <w:t>B</w:t>
            </w:r>
            <w:r>
              <w:rPr>
                <w:color w:val="000000"/>
                <w:vertAlign w:val="superscript"/>
              </w:rPr>
              <w:t>a</w:t>
            </w:r>
          </w:p>
        </w:tc>
        <w:tc>
          <w:tcPr>
            <w:tcW w:w="990" w:type="dxa"/>
            <w:tcBorders>
              <w:top w:val="single" w:sz="4" w:space="0" w:color="auto"/>
              <w:bottom w:val="single" w:sz="4" w:space="0" w:color="auto"/>
            </w:tcBorders>
            <w:shd w:val="clear" w:color="auto" w:fill="auto"/>
            <w:noWrap/>
            <w:vAlign w:val="bottom"/>
            <w:hideMark/>
          </w:tcPr>
          <w:p w14:paraId="75F512C2" w14:textId="77777777" w:rsidR="00D85459" w:rsidRPr="0073797E" w:rsidRDefault="00D85459" w:rsidP="005E50DE">
            <w:pPr>
              <w:jc w:val="center"/>
              <w:rPr>
                <w:i/>
                <w:color w:val="000000"/>
              </w:rPr>
            </w:pPr>
            <w:r w:rsidRPr="0073797E">
              <w:rPr>
                <w:i/>
                <w:color w:val="000000"/>
              </w:rPr>
              <w:t>p</w:t>
            </w:r>
          </w:p>
        </w:tc>
        <w:tc>
          <w:tcPr>
            <w:tcW w:w="810" w:type="dxa"/>
            <w:tcBorders>
              <w:top w:val="single" w:sz="4" w:space="0" w:color="auto"/>
              <w:bottom w:val="single" w:sz="4" w:space="0" w:color="auto"/>
            </w:tcBorders>
            <w:shd w:val="clear" w:color="auto" w:fill="auto"/>
            <w:noWrap/>
            <w:vAlign w:val="bottom"/>
            <w:hideMark/>
          </w:tcPr>
          <w:p w14:paraId="55DD9449" w14:textId="77777777" w:rsidR="00D85459" w:rsidRPr="0073797E" w:rsidRDefault="00D85459" w:rsidP="005E50DE">
            <w:pPr>
              <w:jc w:val="right"/>
              <w:rPr>
                <w:color w:val="000000"/>
              </w:rPr>
            </w:pPr>
            <w:r w:rsidRPr="0073797E">
              <w:rPr>
                <w:color w:val="000000"/>
              </w:rPr>
              <w:t>OR</w:t>
            </w:r>
          </w:p>
        </w:tc>
        <w:tc>
          <w:tcPr>
            <w:tcW w:w="1445" w:type="dxa"/>
            <w:tcBorders>
              <w:top w:val="single" w:sz="4" w:space="0" w:color="auto"/>
              <w:left w:val="nil"/>
              <w:bottom w:val="single" w:sz="4" w:space="0" w:color="auto"/>
            </w:tcBorders>
            <w:shd w:val="clear" w:color="auto" w:fill="auto"/>
            <w:noWrap/>
            <w:vAlign w:val="bottom"/>
            <w:hideMark/>
          </w:tcPr>
          <w:p w14:paraId="308E9F72" w14:textId="77777777" w:rsidR="00D85459" w:rsidRPr="0073797E" w:rsidRDefault="00D85459" w:rsidP="005E50DE">
            <w:pPr>
              <w:jc w:val="center"/>
              <w:rPr>
                <w:color w:val="000000"/>
              </w:rPr>
            </w:pPr>
            <w:r w:rsidRPr="0073797E">
              <w:rPr>
                <w:color w:val="000000"/>
              </w:rPr>
              <w:t>95% CI</w:t>
            </w:r>
          </w:p>
        </w:tc>
      </w:tr>
      <w:tr w:rsidR="00D85459" w:rsidRPr="0073797E" w14:paraId="3DF951A1" w14:textId="77777777" w:rsidTr="005E50DE">
        <w:trPr>
          <w:trHeight w:val="260"/>
        </w:trPr>
        <w:tc>
          <w:tcPr>
            <w:tcW w:w="7696" w:type="dxa"/>
            <w:gridSpan w:val="5"/>
            <w:tcBorders>
              <w:top w:val="nil"/>
              <w:bottom w:val="single" w:sz="4" w:space="0" w:color="auto"/>
            </w:tcBorders>
            <w:shd w:val="clear" w:color="auto" w:fill="auto"/>
            <w:noWrap/>
            <w:vAlign w:val="bottom"/>
            <w:hideMark/>
          </w:tcPr>
          <w:p w14:paraId="6E368E2D" w14:textId="77777777" w:rsidR="00D85459" w:rsidRPr="0073797E" w:rsidRDefault="00D85459" w:rsidP="005E50DE">
            <w:pPr>
              <w:rPr>
                <w:color w:val="000000"/>
              </w:rPr>
            </w:pPr>
            <w:r w:rsidRPr="0073797E">
              <w:rPr>
                <w:b/>
                <w:bCs/>
              </w:rPr>
              <w:t xml:space="preserve">Lifetime suicidal </w:t>
            </w:r>
            <w:proofErr w:type="spellStart"/>
            <w:r w:rsidRPr="0073797E">
              <w:rPr>
                <w:b/>
                <w:bCs/>
              </w:rPr>
              <w:t>behaviors</w:t>
            </w:r>
            <w:r w:rsidRPr="009278C8">
              <w:rPr>
                <w:vertAlign w:val="superscript"/>
              </w:rPr>
              <w:t>b</w:t>
            </w:r>
            <w:proofErr w:type="spellEnd"/>
            <w:r w:rsidRPr="0073797E">
              <w:rPr>
                <w:color w:val="000000"/>
              </w:rPr>
              <w:t> </w:t>
            </w:r>
          </w:p>
        </w:tc>
      </w:tr>
      <w:tr w:rsidR="00D85459" w:rsidRPr="0073797E" w14:paraId="56F693FD" w14:textId="77777777" w:rsidTr="005E50DE">
        <w:trPr>
          <w:trHeight w:val="195"/>
        </w:trPr>
        <w:tc>
          <w:tcPr>
            <w:tcW w:w="3695" w:type="dxa"/>
            <w:tcBorders>
              <w:top w:val="nil"/>
              <w:bottom w:val="single" w:sz="4" w:space="0" w:color="auto"/>
            </w:tcBorders>
            <w:shd w:val="clear" w:color="auto" w:fill="auto"/>
            <w:noWrap/>
            <w:vAlign w:val="bottom"/>
            <w:hideMark/>
          </w:tcPr>
          <w:p w14:paraId="20BD5BF1" w14:textId="77777777" w:rsidR="00D85459" w:rsidRPr="0073797E" w:rsidRDefault="00D85459" w:rsidP="005E50DE">
            <w:pPr>
              <w:rPr>
                <w:color w:val="000000"/>
              </w:rPr>
            </w:pPr>
            <w:r w:rsidRPr="0073797E">
              <w:rPr>
                <w:color w:val="000000"/>
              </w:rPr>
              <w:t>Sexual or gender minority identity</w:t>
            </w:r>
          </w:p>
        </w:tc>
        <w:tc>
          <w:tcPr>
            <w:tcW w:w="756" w:type="dxa"/>
            <w:tcBorders>
              <w:top w:val="nil"/>
              <w:bottom w:val="single" w:sz="4" w:space="0" w:color="auto"/>
            </w:tcBorders>
            <w:shd w:val="clear" w:color="auto" w:fill="auto"/>
            <w:noWrap/>
            <w:vAlign w:val="bottom"/>
            <w:hideMark/>
          </w:tcPr>
          <w:p w14:paraId="1B7CE6D9" w14:textId="77777777" w:rsidR="00D85459" w:rsidRPr="0073797E" w:rsidRDefault="00D85459" w:rsidP="005E50DE">
            <w:pPr>
              <w:jc w:val="right"/>
              <w:rPr>
                <w:color w:val="000000"/>
              </w:rPr>
            </w:pPr>
            <w:r w:rsidRPr="0073797E">
              <w:rPr>
                <w:color w:val="000000"/>
              </w:rPr>
              <w:t>1.80</w:t>
            </w:r>
          </w:p>
        </w:tc>
        <w:tc>
          <w:tcPr>
            <w:tcW w:w="990" w:type="dxa"/>
            <w:tcBorders>
              <w:top w:val="nil"/>
              <w:bottom w:val="single" w:sz="4" w:space="0" w:color="auto"/>
            </w:tcBorders>
            <w:shd w:val="clear" w:color="auto" w:fill="auto"/>
            <w:noWrap/>
            <w:vAlign w:val="bottom"/>
            <w:hideMark/>
          </w:tcPr>
          <w:p w14:paraId="21B0D273"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hideMark/>
          </w:tcPr>
          <w:p w14:paraId="1786416C" w14:textId="77777777" w:rsidR="00D85459" w:rsidRPr="0073797E" w:rsidRDefault="00D85459" w:rsidP="005E50DE">
            <w:pPr>
              <w:jc w:val="right"/>
              <w:rPr>
                <w:color w:val="000000"/>
              </w:rPr>
            </w:pPr>
            <w:r w:rsidRPr="0073797E">
              <w:rPr>
                <w:color w:val="000000"/>
              </w:rPr>
              <w:t>6.02</w:t>
            </w:r>
          </w:p>
        </w:tc>
        <w:tc>
          <w:tcPr>
            <w:tcW w:w="1445" w:type="dxa"/>
            <w:tcBorders>
              <w:top w:val="nil"/>
              <w:left w:val="nil"/>
              <w:bottom w:val="single" w:sz="4" w:space="0" w:color="auto"/>
            </w:tcBorders>
            <w:shd w:val="clear" w:color="auto" w:fill="auto"/>
            <w:noWrap/>
            <w:vAlign w:val="bottom"/>
            <w:hideMark/>
          </w:tcPr>
          <w:p w14:paraId="14889631" w14:textId="77777777" w:rsidR="00D85459" w:rsidRPr="0073797E" w:rsidRDefault="00D85459" w:rsidP="005E50DE">
            <w:pPr>
              <w:jc w:val="right"/>
              <w:rPr>
                <w:color w:val="000000"/>
              </w:rPr>
            </w:pPr>
            <w:r w:rsidRPr="0073797E">
              <w:rPr>
                <w:color w:val="000000"/>
              </w:rPr>
              <w:t>3.90 ‒ 9.29</w:t>
            </w:r>
          </w:p>
        </w:tc>
      </w:tr>
      <w:tr w:rsidR="00D85459" w:rsidRPr="0073797E" w14:paraId="1FF03616" w14:textId="77777777" w:rsidTr="005E50DE">
        <w:trPr>
          <w:trHeight w:val="195"/>
        </w:trPr>
        <w:tc>
          <w:tcPr>
            <w:tcW w:w="3695" w:type="dxa"/>
            <w:tcBorders>
              <w:top w:val="nil"/>
              <w:bottom w:val="single" w:sz="4" w:space="0" w:color="auto"/>
            </w:tcBorders>
            <w:shd w:val="clear" w:color="auto" w:fill="auto"/>
            <w:noWrap/>
            <w:vAlign w:val="bottom"/>
            <w:hideMark/>
          </w:tcPr>
          <w:p w14:paraId="4C9847F9" w14:textId="77777777" w:rsidR="00D85459" w:rsidRPr="0073797E" w:rsidRDefault="00D85459" w:rsidP="005E50DE">
            <w:pPr>
              <w:rPr>
                <w:color w:val="000000"/>
              </w:rPr>
            </w:pPr>
            <w:r w:rsidRPr="0073797E">
              <w:rPr>
                <w:color w:val="000000"/>
              </w:rPr>
              <w:t>Birth-assigned female sex</w:t>
            </w:r>
          </w:p>
        </w:tc>
        <w:tc>
          <w:tcPr>
            <w:tcW w:w="756" w:type="dxa"/>
            <w:tcBorders>
              <w:top w:val="nil"/>
              <w:bottom w:val="single" w:sz="4" w:space="0" w:color="auto"/>
            </w:tcBorders>
            <w:shd w:val="clear" w:color="auto" w:fill="auto"/>
            <w:noWrap/>
            <w:vAlign w:val="bottom"/>
            <w:hideMark/>
          </w:tcPr>
          <w:p w14:paraId="090DE6FD" w14:textId="77777777" w:rsidR="00D85459" w:rsidRPr="0073797E" w:rsidRDefault="00D85459" w:rsidP="005E50DE">
            <w:pPr>
              <w:jc w:val="right"/>
              <w:rPr>
                <w:color w:val="000000"/>
              </w:rPr>
            </w:pPr>
            <w:r w:rsidRPr="0073797E">
              <w:rPr>
                <w:color w:val="000000"/>
              </w:rPr>
              <w:t>-0.36</w:t>
            </w:r>
          </w:p>
        </w:tc>
        <w:tc>
          <w:tcPr>
            <w:tcW w:w="990" w:type="dxa"/>
            <w:tcBorders>
              <w:top w:val="nil"/>
              <w:bottom w:val="single" w:sz="4" w:space="0" w:color="auto"/>
            </w:tcBorders>
            <w:shd w:val="clear" w:color="auto" w:fill="auto"/>
            <w:noWrap/>
            <w:vAlign w:val="bottom"/>
            <w:hideMark/>
          </w:tcPr>
          <w:p w14:paraId="75632EFB" w14:textId="77777777" w:rsidR="00D85459" w:rsidRPr="0073797E" w:rsidRDefault="00D85459" w:rsidP="005E50DE">
            <w:pPr>
              <w:jc w:val="right"/>
              <w:rPr>
                <w:color w:val="000000"/>
              </w:rPr>
            </w:pPr>
            <w:r w:rsidRPr="0073797E">
              <w:rPr>
                <w:color w:val="000000"/>
              </w:rPr>
              <w:t>0.036</w:t>
            </w:r>
          </w:p>
        </w:tc>
        <w:tc>
          <w:tcPr>
            <w:tcW w:w="810" w:type="dxa"/>
            <w:tcBorders>
              <w:top w:val="nil"/>
              <w:bottom w:val="single" w:sz="4" w:space="0" w:color="auto"/>
            </w:tcBorders>
            <w:shd w:val="clear" w:color="auto" w:fill="auto"/>
            <w:noWrap/>
            <w:vAlign w:val="bottom"/>
            <w:hideMark/>
          </w:tcPr>
          <w:p w14:paraId="790E406D" w14:textId="77777777" w:rsidR="00D85459" w:rsidRPr="0073797E" w:rsidRDefault="00D85459" w:rsidP="005E50DE">
            <w:pPr>
              <w:jc w:val="right"/>
              <w:rPr>
                <w:color w:val="000000"/>
              </w:rPr>
            </w:pPr>
            <w:r w:rsidRPr="0073797E">
              <w:rPr>
                <w:color w:val="000000"/>
              </w:rPr>
              <w:t>0.70</w:t>
            </w:r>
          </w:p>
        </w:tc>
        <w:tc>
          <w:tcPr>
            <w:tcW w:w="1445" w:type="dxa"/>
            <w:tcBorders>
              <w:top w:val="nil"/>
              <w:left w:val="nil"/>
              <w:bottom w:val="single" w:sz="4" w:space="0" w:color="auto"/>
            </w:tcBorders>
            <w:shd w:val="clear" w:color="auto" w:fill="auto"/>
            <w:noWrap/>
            <w:vAlign w:val="bottom"/>
            <w:hideMark/>
          </w:tcPr>
          <w:p w14:paraId="32CA8F82" w14:textId="77777777" w:rsidR="00D85459" w:rsidRPr="0073797E" w:rsidRDefault="00D85459" w:rsidP="005E50DE">
            <w:pPr>
              <w:jc w:val="right"/>
              <w:rPr>
                <w:color w:val="000000"/>
              </w:rPr>
            </w:pPr>
            <w:r w:rsidRPr="0073797E">
              <w:rPr>
                <w:color w:val="000000"/>
              </w:rPr>
              <w:t>0.50 ‒ 0.98</w:t>
            </w:r>
          </w:p>
        </w:tc>
      </w:tr>
      <w:tr w:rsidR="00D85459" w:rsidRPr="0073797E" w14:paraId="1E38BCD7" w14:textId="77777777" w:rsidTr="005E50DE">
        <w:trPr>
          <w:trHeight w:val="195"/>
        </w:trPr>
        <w:tc>
          <w:tcPr>
            <w:tcW w:w="3695" w:type="dxa"/>
            <w:tcBorders>
              <w:top w:val="nil"/>
              <w:bottom w:val="single" w:sz="4" w:space="0" w:color="auto"/>
            </w:tcBorders>
            <w:shd w:val="clear" w:color="auto" w:fill="auto"/>
            <w:noWrap/>
            <w:vAlign w:val="bottom"/>
            <w:hideMark/>
          </w:tcPr>
          <w:p w14:paraId="5D57A4E2" w14:textId="77777777" w:rsidR="00D85459" w:rsidRPr="0073797E" w:rsidRDefault="00D85459" w:rsidP="005E50DE">
            <w:pPr>
              <w:rPr>
                <w:color w:val="000000"/>
              </w:rPr>
            </w:pPr>
            <w:r w:rsidRPr="0073797E">
              <w:rPr>
                <w:color w:val="000000"/>
              </w:rPr>
              <w:t>Age</w:t>
            </w:r>
          </w:p>
        </w:tc>
        <w:tc>
          <w:tcPr>
            <w:tcW w:w="756" w:type="dxa"/>
            <w:tcBorders>
              <w:top w:val="nil"/>
              <w:bottom w:val="single" w:sz="4" w:space="0" w:color="auto"/>
            </w:tcBorders>
            <w:shd w:val="clear" w:color="auto" w:fill="auto"/>
            <w:noWrap/>
            <w:vAlign w:val="bottom"/>
            <w:hideMark/>
          </w:tcPr>
          <w:p w14:paraId="065D6977" w14:textId="77777777" w:rsidR="00D85459" w:rsidRPr="0073797E" w:rsidRDefault="00D85459" w:rsidP="005E50DE">
            <w:pPr>
              <w:jc w:val="right"/>
              <w:rPr>
                <w:color w:val="000000"/>
              </w:rPr>
            </w:pPr>
            <w:r w:rsidRPr="0073797E">
              <w:rPr>
                <w:color w:val="000000"/>
              </w:rPr>
              <w:t>0.28</w:t>
            </w:r>
          </w:p>
        </w:tc>
        <w:tc>
          <w:tcPr>
            <w:tcW w:w="990" w:type="dxa"/>
            <w:tcBorders>
              <w:top w:val="nil"/>
              <w:bottom w:val="single" w:sz="4" w:space="0" w:color="auto"/>
            </w:tcBorders>
            <w:shd w:val="clear" w:color="auto" w:fill="auto"/>
            <w:noWrap/>
            <w:vAlign w:val="bottom"/>
            <w:hideMark/>
          </w:tcPr>
          <w:p w14:paraId="48A3BB45" w14:textId="77777777" w:rsidR="00D85459" w:rsidRPr="0073797E" w:rsidRDefault="00D85459" w:rsidP="005E50DE">
            <w:pPr>
              <w:jc w:val="right"/>
              <w:rPr>
                <w:color w:val="000000"/>
              </w:rPr>
            </w:pPr>
            <w:r w:rsidRPr="0073797E">
              <w:rPr>
                <w:color w:val="000000"/>
              </w:rPr>
              <w:t>0.025</w:t>
            </w:r>
          </w:p>
        </w:tc>
        <w:tc>
          <w:tcPr>
            <w:tcW w:w="810" w:type="dxa"/>
            <w:tcBorders>
              <w:top w:val="nil"/>
              <w:bottom w:val="single" w:sz="4" w:space="0" w:color="auto"/>
            </w:tcBorders>
            <w:shd w:val="clear" w:color="auto" w:fill="auto"/>
            <w:noWrap/>
            <w:vAlign w:val="bottom"/>
            <w:hideMark/>
          </w:tcPr>
          <w:p w14:paraId="4C541304" w14:textId="77777777" w:rsidR="00D85459" w:rsidRPr="0073797E" w:rsidRDefault="00D85459" w:rsidP="005E50DE">
            <w:pPr>
              <w:jc w:val="right"/>
              <w:rPr>
                <w:color w:val="000000"/>
              </w:rPr>
            </w:pPr>
            <w:r w:rsidRPr="0073797E">
              <w:rPr>
                <w:color w:val="000000"/>
              </w:rPr>
              <w:t>1.32</w:t>
            </w:r>
          </w:p>
        </w:tc>
        <w:tc>
          <w:tcPr>
            <w:tcW w:w="1445" w:type="dxa"/>
            <w:tcBorders>
              <w:top w:val="nil"/>
              <w:left w:val="nil"/>
              <w:bottom w:val="single" w:sz="4" w:space="0" w:color="auto"/>
            </w:tcBorders>
            <w:shd w:val="clear" w:color="auto" w:fill="auto"/>
            <w:noWrap/>
            <w:vAlign w:val="bottom"/>
            <w:hideMark/>
          </w:tcPr>
          <w:p w14:paraId="506A6F32" w14:textId="77777777" w:rsidR="00D85459" w:rsidRPr="0073797E" w:rsidRDefault="00D85459" w:rsidP="005E50DE">
            <w:pPr>
              <w:jc w:val="right"/>
              <w:rPr>
                <w:color w:val="000000"/>
              </w:rPr>
            </w:pPr>
            <w:r w:rsidRPr="0073797E">
              <w:rPr>
                <w:color w:val="000000"/>
              </w:rPr>
              <w:t>1.04 – 1.69</w:t>
            </w:r>
          </w:p>
        </w:tc>
      </w:tr>
      <w:tr w:rsidR="00D85459" w:rsidRPr="0073797E" w14:paraId="6BC34B59" w14:textId="77777777" w:rsidTr="005E50DE">
        <w:trPr>
          <w:trHeight w:val="195"/>
        </w:trPr>
        <w:tc>
          <w:tcPr>
            <w:tcW w:w="3695" w:type="dxa"/>
            <w:tcBorders>
              <w:top w:val="nil"/>
              <w:bottom w:val="single" w:sz="4" w:space="0" w:color="auto"/>
            </w:tcBorders>
            <w:shd w:val="clear" w:color="auto" w:fill="auto"/>
            <w:noWrap/>
            <w:vAlign w:val="bottom"/>
            <w:hideMark/>
          </w:tcPr>
          <w:p w14:paraId="01B13842" w14:textId="77777777" w:rsidR="00D85459" w:rsidRPr="0073797E" w:rsidRDefault="00D85459" w:rsidP="005E50DE">
            <w:pPr>
              <w:rPr>
                <w:color w:val="000000"/>
              </w:rPr>
            </w:pPr>
            <w:r w:rsidRPr="0073797E">
              <w:rPr>
                <w:color w:val="000000"/>
              </w:rPr>
              <w:t>White</w:t>
            </w:r>
          </w:p>
        </w:tc>
        <w:tc>
          <w:tcPr>
            <w:tcW w:w="756" w:type="dxa"/>
            <w:tcBorders>
              <w:top w:val="nil"/>
              <w:bottom w:val="single" w:sz="4" w:space="0" w:color="auto"/>
            </w:tcBorders>
            <w:shd w:val="clear" w:color="auto" w:fill="auto"/>
            <w:noWrap/>
            <w:vAlign w:val="bottom"/>
            <w:hideMark/>
          </w:tcPr>
          <w:p w14:paraId="06C7FFA4" w14:textId="77777777" w:rsidR="00D85459" w:rsidRPr="0073797E" w:rsidRDefault="00D85459" w:rsidP="005E50DE">
            <w:pPr>
              <w:jc w:val="right"/>
              <w:rPr>
                <w:color w:val="000000"/>
              </w:rPr>
            </w:pPr>
            <w:r w:rsidRPr="0073797E">
              <w:rPr>
                <w:color w:val="000000"/>
              </w:rPr>
              <w:t>-0.17</w:t>
            </w:r>
          </w:p>
        </w:tc>
        <w:tc>
          <w:tcPr>
            <w:tcW w:w="990" w:type="dxa"/>
            <w:tcBorders>
              <w:top w:val="nil"/>
              <w:bottom w:val="single" w:sz="4" w:space="0" w:color="auto"/>
            </w:tcBorders>
            <w:shd w:val="clear" w:color="auto" w:fill="auto"/>
            <w:noWrap/>
            <w:vAlign w:val="bottom"/>
            <w:hideMark/>
          </w:tcPr>
          <w:p w14:paraId="41A6EAE1" w14:textId="77777777" w:rsidR="00D85459" w:rsidRPr="0073797E" w:rsidRDefault="00D85459" w:rsidP="005E50DE">
            <w:pPr>
              <w:jc w:val="right"/>
              <w:rPr>
                <w:color w:val="000000"/>
              </w:rPr>
            </w:pPr>
            <w:r w:rsidRPr="0073797E">
              <w:rPr>
                <w:color w:val="000000"/>
              </w:rPr>
              <w:t>0.489</w:t>
            </w:r>
          </w:p>
        </w:tc>
        <w:tc>
          <w:tcPr>
            <w:tcW w:w="810" w:type="dxa"/>
            <w:tcBorders>
              <w:top w:val="nil"/>
              <w:bottom w:val="single" w:sz="4" w:space="0" w:color="auto"/>
            </w:tcBorders>
            <w:shd w:val="clear" w:color="auto" w:fill="auto"/>
            <w:noWrap/>
            <w:vAlign w:val="bottom"/>
            <w:hideMark/>
          </w:tcPr>
          <w:p w14:paraId="3B8DA254" w14:textId="77777777" w:rsidR="00D85459" w:rsidRPr="0073797E" w:rsidRDefault="00D85459" w:rsidP="005E50DE">
            <w:pPr>
              <w:jc w:val="right"/>
              <w:rPr>
                <w:color w:val="000000"/>
              </w:rPr>
            </w:pPr>
            <w:r w:rsidRPr="0073797E">
              <w:rPr>
                <w:color w:val="000000"/>
              </w:rPr>
              <w:t>0.84</w:t>
            </w:r>
          </w:p>
        </w:tc>
        <w:tc>
          <w:tcPr>
            <w:tcW w:w="1445" w:type="dxa"/>
            <w:tcBorders>
              <w:top w:val="nil"/>
              <w:left w:val="nil"/>
              <w:bottom w:val="single" w:sz="4" w:space="0" w:color="auto"/>
            </w:tcBorders>
            <w:shd w:val="clear" w:color="auto" w:fill="auto"/>
            <w:noWrap/>
            <w:vAlign w:val="bottom"/>
            <w:hideMark/>
          </w:tcPr>
          <w:p w14:paraId="439950F3" w14:textId="77777777" w:rsidR="00D85459" w:rsidRPr="0073797E" w:rsidRDefault="00D85459" w:rsidP="005E50DE">
            <w:pPr>
              <w:jc w:val="right"/>
              <w:rPr>
                <w:color w:val="000000"/>
              </w:rPr>
            </w:pPr>
            <w:r w:rsidRPr="0073797E">
              <w:rPr>
                <w:color w:val="000000"/>
              </w:rPr>
              <w:t>0.52 – 1.36</w:t>
            </w:r>
          </w:p>
        </w:tc>
      </w:tr>
      <w:tr w:rsidR="00D85459" w:rsidRPr="0073797E" w14:paraId="47F9A49F" w14:textId="77777777" w:rsidTr="005E50DE">
        <w:trPr>
          <w:trHeight w:val="195"/>
        </w:trPr>
        <w:tc>
          <w:tcPr>
            <w:tcW w:w="3695" w:type="dxa"/>
            <w:tcBorders>
              <w:top w:val="nil"/>
              <w:bottom w:val="single" w:sz="4" w:space="0" w:color="auto"/>
            </w:tcBorders>
            <w:shd w:val="clear" w:color="auto" w:fill="auto"/>
            <w:noWrap/>
            <w:vAlign w:val="bottom"/>
            <w:hideMark/>
          </w:tcPr>
          <w:p w14:paraId="3E2E83B4" w14:textId="77777777" w:rsidR="00D85459" w:rsidRPr="0073797E" w:rsidRDefault="00D85459" w:rsidP="005E50DE">
            <w:pPr>
              <w:rPr>
                <w:color w:val="000000"/>
              </w:rPr>
            </w:pPr>
            <w:r w:rsidRPr="0073797E">
              <w:rPr>
                <w:color w:val="000000"/>
              </w:rPr>
              <w:t>Hispanic</w:t>
            </w:r>
          </w:p>
        </w:tc>
        <w:tc>
          <w:tcPr>
            <w:tcW w:w="756" w:type="dxa"/>
            <w:tcBorders>
              <w:top w:val="nil"/>
              <w:bottom w:val="single" w:sz="4" w:space="0" w:color="auto"/>
            </w:tcBorders>
            <w:shd w:val="clear" w:color="auto" w:fill="auto"/>
            <w:noWrap/>
            <w:vAlign w:val="bottom"/>
            <w:hideMark/>
          </w:tcPr>
          <w:p w14:paraId="197F594C" w14:textId="77777777" w:rsidR="00D85459" w:rsidRPr="0073797E" w:rsidRDefault="00D85459" w:rsidP="005E50DE">
            <w:pPr>
              <w:jc w:val="right"/>
              <w:rPr>
                <w:color w:val="000000"/>
              </w:rPr>
            </w:pPr>
            <w:r w:rsidRPr="0073797E">
              <w:rPr>
                <w:color w:val="000000"/>
              </w:rPr>
              <w:t>-0.17</w:t>
            </w:r>
          </w:p>
        </w:tc>
        <w:tc>
          <w:tcPr>
            <w:tcW w:w="990" w:type="dxa"/>
            <w:tcBorders>
              <w:top w:val="nil"/>
              <w:bottom w:val="single" w:sz="4" w:space="0" w:color="auto"/>
            </w:tcBorders>
            <w:shd w:val="clear" w:color="auto" w:fill="auto"/>
            <w:noWrap/>
            <w:vAlign w:val="bottom"/>
            <w:hideMark/>
          </w:tcPr>
          <w:p w14:paraId="45918855" w14:textId="77777777" w:rsidR="00D85459" w:rsidRPr="0073797E" w:rsidRDefault="00D85459" w:rsidP="005E50DE">
            <w:pPr>
              <w:jc w:val="right"/>
              <w:rPr>
                <w:color w:val="000000"/>
              </w:rPr>
            </w:pPr>
            <w:r w:rsidRPr="0073797E">
              <w:rPr>
                <w:color w:val="000000"/>
              </w:rPr>
              <w:t>0.567</w:t>
            </w:r>
          </w:p>
        </w:tc>
        <w:tc>
          <w:tcPr>
            <w:tcW w:w="810" w:type="dxa"/>
            <w:tcBorders>
              <w:top w:val="nil"/>
              <w:bottom w:val="single" w:sz="4" w:space="0" w:color="auto"/>
            </w:tcBorders>
            <w:shd w:val="clear" w:color="auto" w:fill="auto"/>
            <w:noWrap/>
            <w:vAlign w:val="bottom"/>
            <w:hideMark/>
          </w:tcPr>
          <w:p w14:paraId="7B2808E8" w14:textId="77777777" w:rsidR="00D85459" w:rsidRPr="0073797E" w:rsidRDefault="00D85459" w:rsidP="005E50DE">
            <w:pPr>
              <w:jc w:val="right"/>
              <w:rPr>
                <w:color w:val="000000"/>
              </w:rPr>
            </w:pPr>
            <w:r w:rsidRPr="0073797E">
              <w:rPr>
                <w:color w:val="000000"/>
              </w:rPr>
              <w:t>0.85</w:t>
            </w:r>
          </w:p>
        </w:tc>
        <w:tc>
          <w:tcPr>
            <w:tcW w:w="1445" w:type="dxa"/>
            <w:tcBorders>
              <w:top w:val="nil"/>
              <w:left w:val="nil"/>
              <w:bottom w:val="single" w:sz="4" w:space="0" w:color="auto"/>
            </w:tcBorders>
            <w:shd w:val="clear" w:color="auto" w:fill="auto"/>
            <w:noWrap/>
            <w:vAlign w:val="bottom"/>
            <w:hideMark/>
          </w:tcPr>
          <w:p w14:paraId="49EA98ED" w14:textId="77777777" w:rsidR="00D85459" w:rsidRPr="0073797E" w:rsidRDefault="00D85459" w:rsidP="005E50DE">
            <w:pPr>
              <w:jc w:val="right"/>
              <w:rPr>
                <w:color w:val="000000"/>
              </w:rPr>
            </w:pPr>
            <w:r w:rsidRPr="0073797E">
              <w:rPr>
                <w:color w:val="000000"/>
              </w:rPr>
              <w:t>0.48 – 1.50</w:t>
            </w:r>
          </w:p>
        </w:tc>
      </w:tr>
      <w:tr w:rsidR="00D85459" w:rsidRPr="0073797E" w14:paraId="5E98CAF5" w14:textId="77777777" w:rsidTr="005E50DE">
        <w:trPr>
          <w:trHeight w:val="195"/>
        </w:trPr>
        <w:tc>
          <w:tcPr>
            <w:tcW w:w="3695" w:type="dxa"/>
            <w:tcBorders>
              <w:top w:val="nil"/>
              <w:bottom w:val="single" w:sz="4" w:space="0" w:color="auto"/>
            </w:tcBorders>
            <w:shd w:val="clear" w:color="auto" w:fill="auto"/>
            <w:noWrap/>
            <w:vAlign w:val="bottom"/>
            <w:hideMark/>
          </w:tcPr>
          <w:p w14:paraId="4F2D5083" w14:textId="77777777" w:rsidR="00D85459" w:rsidRPr="0073797E" w:rsidRDefault="00D85459" w:rsidP="005E50DE">
            <w:pPr>
              <w:rPr>
                <w:color w:val="000000"/>
              </w:rPr>
            </w:pPr>
            <w:r w:rsidRPr="0073797E">
              <w:rPr>
                <w:color w:val="000000"/>
              </w:rPr>
              <w:t>Black</w:t>
            </w:r>
          </w:p>
        </w:tc>
        <w:tc>
          <w:tcPr>
            <w:tcW w:w="756" w:type="dxa"/>
            <w:tcBorders>
              <w:top w:val="nil"/>
              <w:bottom w:val="single" w:sz="4" w:space="0" w:color="auto"/>
            </w:tcBorders>
            <w:shd w:val="clear" w:color="auto" w:fill="auto"/>
            <w:noWrap/>
            <w:vAlign w:val="bottom"/>
            <w:hideMark/>
          </w:tcPr>
          <w:p w14:paraId="187688E2" w14:textId="77777777" w:rsidR="00D85459" w:rsidRPr="0073797E" w:rsidRDefault="00D85459" w:rsidP="005E50DE">
            <w:pPr>
              <w:jc w:val="right"/>
              <w:rPr>
                <w:color w:val="000000"/>
              </w:rPr>
            </w:pPr>
            <w:r w:rsidRPr="0073797E">
              <w:rPr>
                <w:color w:val="000000"/>
              </w:rPr>
              <w:t>0.34</w:t>
            </w:r>
          </w:p>
        </w:tc>
        <w:tc>
          <w:tcPr>
            <w:tcW w:w="990" w:type="dxa"/>
            <w:tcBorders>
              <w:top w:val="nil"/>
              <w:bottom w:val="single" w:sz="4" w:space="0" w:color="auto"/>
            </w:tcBorders>
            <w:shd w:val="clear" w:color="auto" w:fill="auto"/>
            <w:noWrap/>
            <w:vAlign w:val="bottom"/>
            <w:hideMark/>
          </w:tcPr>
          <w:p w14:paraId="166E1108" w14:textId="77777777" w:rsidR="00D85459" w:rsidRPr="0073797E" w:rsidRDefault="00D85459" w:rsidP="005E50DE">
            <w:pPr>
              <w:jc w:val="right"/>
              <w:rPr>
                <w:color w:val="000000"/>
              </w:rPr>
            </w:pPr>
            <w:r w:rsidRPr="0073797E">
              <w:rPr>
                <w:color w:val="000000"/>
              </w:rPr>
              <w:t>0.219</w:t>
            </w:r>
          </w:p>
        </w:tc>
        <w:tc>
          <w:tcPr>
            <w:tcW w:w="810" w:type="dxa"/>
            <w:tcBorders>
              <w:top w:val="nil"/>
              <w:bottom w:val="single" w:sz="4" w:space="0" w:color="auto"/>
            </w:tcBorders>
            <w:shd w:val="clear" w:color="auto" w:fill="auto"/>
            <w:noWrap/>
            <w:vAlign w:val="bottom"/>
            <w:hideMark/>
          </w:tcPr>
          <w:p w14:paraId="17902BF6" w14:textId="77777777" w:rsidR="00D85459" w:rsidRPr="0073797E" w:rsidRDefault="00D85459" w:rsidP="005E50DE">
            <w:pPr>
              <w:jc w:val="right"/>
              <w:rPr>
                <w:color w:val="000000"/>
              </w:rPr>
            </w:pPr>
            <w:r w:rsidRPr="0073797E">
              <w:rPr>
                <w:color w:val="000000"/>
              </w:rPr>
              <w:t>1.40</w:t>
            </w:r>
          </w:p>
        </w:tc>
        <w:tc>
          <w:tcPr>
            <w:tcW w:w="1445" w:type="dxa"/>
            <w:tcBorders>
              <w:top w:val="nil"/>
              <w:left w:val="nil"/>
              <w:bottom w:val="single" w:sz="4" w:space="0" w:color="auto"/>
            </w:tcBorders>
            <w:shd w:val="clear" w:color="auto" w:fill="auto"/>
            <w:noWrap/>
            <w:vAlign w:val="bottom"/>
            <w:hideMark/>
          </w:tcPr>
          <w:p w14:paraId="10F33DDC" w14:textId="77777777" w:rsidR="00D85459" w:rsidRPr="0073797E" w:rsidRDefault="00D85459" w:rsidP="005E50DE">
            <w:pPr>
              <w:jc w:val="right"/>
              <w:rPr>
                <w:color w:val="000000"/>
              </w:rPr>
            </w:pPr>
            <w:r w:rsidRPr="0073797E">
              <w:rPr>
                <w:color w:val="000000"/>
              </w:rPr>
              <w:t>0.82 – 2.39</w:t>
            </w:r>
          </w:p>
        </w:tc>
      </w:tr>
      <w:tr w:rsidR="00D85459" w:rsidRPr="0073797E" w14:paraId="221A12BF" w14:textId="77777777" w:rsidTr="005E50DE">
        <w:trPr>
          <w:trHeight w:val="195"/>
        </w:trPr>
        <w:tc>
          <w:tcPr>
            <w:tcW w:w="3695" w:type="dxa"/>
            <w:tcBorders>
              <w:top w:val="nil"/>
              <w:bottom w:val="single" w:sz="4" w:space="0" w:color="auto"/>
            </w:tcBorders>
            <w:shd w:val="clear" w:color="auto" w:fill="auto"/>
            <w:noWrap/>
            <w:vAlign w:val="bottom"/>
            <w:hideMark/>
          </w:tcPr>
          <w:p w14:paraId="26AEEF06" w14:textId="77777777" w:rsidR="00D85459" w:rsidRPr="0073797E" w:rsidRDefault="00D85459" w:rsidP="005E50DE">
            <w:r w:rsidRPr="0073797E">
              <w:rPr>
                <w:bCs/>
              </w:rPr>
              <w:t xml:space="preserve">Family </w:t>
            </w:r>
            <w:proofErr w:type="spellStart"/>
            <w:r w:rsidRPr="0073797E">
              <w:rPr>
                <w:bCs/>
              </w:rPr>
              <w:t>acceptance</w:t>
            </w:r>
            <w:r>
              <w:rPr>
                <w:bCs/>
                <w:vertAlign w:val="superscript"/>
              </w:rPr>
              <w:t>c</w:t>
            </w:r>
            <w:proofErr w:type="spellEnd"/>
          </w:p>
        </w:tc>
        <w:tc>
          <w:tcPr>
            <w:tcW w:w="756" w:type="dxa"/>
            <w:tcBorders>
              <w:top w:val="nil"/>
              <w:bottom w:val="single" w:sz="4" w:space="0" w:color="auto"/>
            </w:tcBorders>
            <w:shd w:val="clear" w:color="auto" w:fill="auto"/>
            <w:noWrap/>
            <w:vAlign w:val="bottom"/>
            <w:hideMark/>
          </w:tcPr>
          <w:p w14:paraId="201480BD" w14:textId="77777777" w:rsidR="00D85459" w:rsidRPr="0073797E" w:rsidRDefault="00D85459" w:rsidP="005E50DE">
            <w:pPr>
              <w:jc w:val="right"/>
              <w:rPr>
                <w:color w:val="000000"/>
              </w:rPr>
            </w:pPr>
            <w:r w:rsidRPr="0073797E">
              <w:rPr>
                <w:color w:val="000000"/>
              </w:rPr>
              <w:t>-0.18</w:t>
            </w:r>
          </w:p>
        </w:tc>
        <w:tc>
          <w:tcPr>
            <w:tcW w:w="990" w:type="dxa"/>
            <w:tcBorders>
              <w:top w:val="nil"/>
              <w:bottom w:val="single" w:sz="4" w:space="0" w:color="auto"/>
            </w:tcBorders>
            <w:shd w:val="clear" w:color="auto" w:fill="auto"/>
            <w:noWrap/>
            <w:vAlign w:val="bottom"/>
            <w:hideMark/>
          </w:tcPr>
          <w:p w14:paraId="4D9B980B"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hideMark/>
          </w:tcPr>
          <w:p w14:paraId="6524BF7A" w14:textId="77777777" w:rsidR="00D85459" w:rsidRPr="0073797E" w:rsidRDefault="00D85459" w:rsidP="005E50DE">
            <w:pPr>
              <w:jc w:val="right"/>
              <w:rPr>
                <w:color w:val="000000"/>
              </w:rPr>
            </w:pPr>
            <w:r w:rsidRPr="0073797E">
              <w:rPr>
                <w:color w:val="000000"/>
              </w:rPr>
              <w:t>0.84</w:t>
            </w:r>
          </w:p>
        </w:tc>
        <w:tc>
          <w:tcPr>
            <w:tcW w:w="1445" w:type="dxa"/>
            <w:tcBorders>
              <w:top w:val="nil"/>
              <w:left w:val="nil"/>
              <w:bottom w:val="single" w:sz="4" w:space="0" w:color="auto"/>
            </w:tcBorders>
            <w:shd w:val="clear" w:color="auto" w:fill="auto"/>
            <w:noWrap/>
            <w:vAlign w:val="bottom"/>
            <w:hideMark/>
          </w:tcPr>
          <w:p w14:paraId="4DD29139" w14:textId="77777777" w:rsidR="00D85459" w:rsidRPr="0073797E" w:rsidRDefault="00D85459" w:rsidP="005E50DE">
            <w:pPr>
              <w:jc w:val="right"/>
              <w:rPr>
                <w:color w:val="000000"/>
              </w:rPr>
            </w:pPr>
            <w:r w:rsidRPr="0073797E">
              <w:rPr>
                <w:color w:val="000000"/>
              </w:rPr>
              <w:t>0.76 – 0.92</w:t>
            </w:r>
          </w:p>
        </w:tc>
      </w:tr>
      <w:tr w:rsidR="00D85459" w:rsidRPr="0073797E" w14:paraId="0DA8818B" w14:textId="77777777" w:rsidTr="005E50DE">
        <w:trPr>
          <w:trHeight w:val="195"/>
        </w:trPr>
        <w:tc>
          <w:tcPr>
            <w:tcW w:w="3695" w:type="dxa"/>
            <w:tcBorders>
              <w:top w:val="nil"/>
              <w:bottom w:val="single" w:sz="4" w:space="0" w:color="auto"/>
            </w:tcBorders>
            <w:shd w:val="clear" w:color="auto" w:fill="auto"/>
            <w:noWrap/>
            <w:vAlign w:val="bottom"/>
          </w:tcPr>
          <w:p w14:paraId="5D4DF776" w14:textId="77777777" w:rsidR="00D85459" w:rsidRPr="0073797E" w:rsidRDefault="00D85459" w:rsidP="005E50DE">
            <w:pPr>
              <w:rPr>
                <w:bCs/>
              </w:rPr>
            </w:pPr>
            <w:r w:rsidRPr="0073797E">
              <w:rPr>
                <w:bCs/>
              </w:rPr>
              <w:t xml:space="preserve">Family </w:t>
            </w:r>
            <w:proofErr w:type="spellStart"/>
            <w:r w:rsidRPr="0073797E">
              <w:rPr>
                <w:bCs/>
              </w:rPr>
              <w:t>conflict</w:t>
            </w:r>
            <w:r>
              <w:rPr>
                <w:bCs/>
                <w:vertAlign w:val="superscript"/>
              </w:rPr>
              <w:t>d</w:t>
            </w:r>
            <w:proofErr w:type="spellEnd"/>
          </w:p>
        </w:tc>
        <w:tc>
          <w:tcPr>
            <w:tcW w:w="756" w:type="dxa"/>
            <w:tcBorders>
              <w:top w:val="nil"/>
              <w:bottom w:val="single" w:sz="4" w:space="0" w:color="auto"/>
            </w:tcBorders>
            <w:shd w:val="clear" w:color="auto" w:fill="auto"/>
            <w:noWrap/>
            <w:vAlign w:val="bottom"/>
          </w:tcPr>
          <w:p w14:paraId="131B4E0D" w14:textId="77777777" w:rsidR="00D85459" w:rsidRPr="0073797E" w:rsidRDefault="00D85459" w:rsidP="005E50DE">
            <w:pPr>
              <w:jc w:val="right"/>
              <w:rPr>
                <w:color w:val="000000"/>
              </w:rPr>
            </w:pPr>
            <w:r w:rsidRPr="0073797E">
              <w:rPr>
                <w:color w:val="000000"/>
              </w:rPr>
              <w:t>0.24</w:t>
            </w:r>
          </w:p>
        </w:tc>
        <w:tc>
          <w:tcPr>
            <w:tcW w:w="990" w:type="dxa"/>
            <w:tcBorders>
              <w:top w:val="nil"/>
              <w:bottom w:val="single" w:sz="4" w:space="0" w:color="auto"/>
            </w:tcBorders>
            <w:shd w:val="clear" w:color="auto" w:fill="auto"/>
            <w:noWrap/>
            <w:vAlign w:val="bottom"/>
          </w:tcPr>
          <w:p w14:paraId="198DF695"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76396BE5" w14:textId="77777777" w:rsidR="00D85459" w:rsidRPr="0073797E" w:rsidRDefault="00D85459" w:rsidP="005E50DE">
            <w:pPr>
              <w:jc w:val="right"/>
              <w:rPr>
                <w:color w:val="000000"/>
              </w:rPr>
            </w:pPr>
            <w:r w:rsidRPr="0073797E">
              <w:rPr>
                <w:color w:val="000000"/>
              </w:rPr>
              <w:t>1.27</w:t>
            </w:r>
          </w:p>
        </w:tc>
        <w:tc>
          <w:tcPr>
            <w:tcW w:w="1445" w:type="dxa"/>
            <w:tcBorders>
              <w:top w:val="nil"/>
              <w:left w:val="nil"/>
              <w:bottom w:val="single" w:sz="4" w:space="0" w:color="auto"/>
            </w:tcBorders>
            <w:shd w:val="clear" w:color="auto" w:fill="auto"/>
            <w:noWrap/>
            <w:vAlign w:val="bottom"/>
          </w:tcPr>
          <w:p w14:paraId="13ED321F" w14:textId="77777777" w:rsidR="00D85459" w:rsidRPr="0073797E" w:rsidRDefault="00D85459" w:rsidP="005E50DE">
            <w:pPr>
              <w:jc w:val="right"/>
              <w:rPr>
                <w:color w:val="000000"/>
              </w:rPr>
            </w:pPr>
            <w:r w:rsidRPr="0073797E">
              <w:rPr>
                <w:color w:val="000000"/>
              </w:rPr>
              <w:t>1.18 – 1.37</w:t>
            </w:r>
          </w:p>
        </w:tc>
      </w:tr>
      <w:tr w:rsidR="00D85459" w:rsidRPr="0073797E" w14:paraId="42665A3B" w14:textId="77777777" w:rsidTr="005E50DE">
        <w:trPr>
          <w:trHeight w:val="195"/>
        </w:trPr>
        <w:tc>
          <w:tcPr>
            <w:tcW w:w="3695" w:type="dxa"/>
            <w:tcBorders>
              <w:top w:val="nil"/>
              <w:bottom w:val="single" w:sz="4" w:space="0" w:color="auto"/>
            </w:tcBorders>
            <w:shd w:val="clear" w:color="auto" w:fill="auto"/>
            <w:noWrap/>
            <w:vAlign w:val="bottom"/>
            <w:hideMark/>
          </w:tcPr>
          <w:p w14:paraId="147E6067" w14:textId="77777777" w:rsidR="00D85459" w:rsidRPr="0073797E" w:rsidRDefault="00D85459" w:rsidP="005E50DE">
            <w:pPr>
              <w:rPr>
                <w:color w:val="000000"/>
              </w:rPr>
            </w:pPr>
            <w:r w:rsidRPr="0073797E">
              <w:t>Intercept</w:t>
            </w:r>
          </w:p>
        </w:tc>
        <w:tc>
          <w:tcPr>
            <w:tcW w:w="756" w:type="dxa"/>
            <w:tcBorders>
              <w:top w:val="nil"/>
              <w:bottom w:val="single" w:sz="4" w:space="0" w:color="auto"/>
            </w:tcBorders>
            <w:shd w:val="clear" w:color="auto" w:fill="auto"/>
            <w:noWrap/>
            <w:vAlign w:val="bottom"/>
            <w:hideMark/>
          </w:tcPr>
          <w:p w14:paraId="4F451E04" w14:textId="77777777" w:rsidR="00D85459" w:rsidRPr="0073797E" w:rsidRDefault="00D85459" w:rsidP="005E50DE">
            <w:pPr>
              <w:jc w:val="right"/>
              <w:rPr>
                <w:color w:val="000000"/>
              </w:rPr>
            </w:pPr>
            <w:r w:rsidRPr="0073797E">
              <w:rPr>
                <w:color w:val="000000"/>
              </w:rPr>
              <w:t>-5.45</w:t>
            </w:r>
          </w:p>
        </w:tc>
        <w:tc>
          <w:tcPr>
            <w:tcW w:w="990" w:type="dxa"/>
            <w:tcBorders>
              <w:top w:val="nil"/>
              <w:bottom w:val="single" w:sz="4" w:space="0" w:color="auto"/>
            </w:tcBorders>
            <w:shd w:val="clear" w:color="auto" w:fill="auto"/>
            <w:noWrap/>
            <w:vAlign w:val="bottom"/>
            <w:hideMark/>
          </w:tcPr>
          <w:p w14:paraId="299D6E0D"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hideMark/>
          </w:tcPr>
          <w:p w14:paraId="1793A019" w14:textId="77777777" w:rsidR="00D85459" w:rsidRPr="0073797E" w:rsidRDefault="00D85459" w:rsidP="005E50DE">
            <w:pPr>
              <w:jc w:val="right"/>
              <w:rPr>
                <w:color w:val="000000"/>
                <w:highlight w:val="yellow"/>
              </w:rPr>
            </w:pPr>
          </w:p>
        </w:tc>
        <w:tc>
          <w:tcPr>
            <w:tcW w:w="1445" w:type="dxa"/>
            <w:tcBorders>
              <w:top w:val="nil"/>
              <w:left w:val="nil"/>
              <w:bottom w:val="single" w:sz="4" w:space="0" w:color="auto"/>
            </w:tcBorders>
            <w:shd w:val="clear" w:color="auto" w:fill="auto"/>
            <w:noWrap/>
            <w:vAlign w:val="bottom"/>
            <w:hideMark/>
          </w:tcPr>
          <w:p w14:paraId="15719B7A" w14:textId="77777777" w:rsidR="00D85459" w:rsidRPr="0073797E" w:rsidRDefault="00D85459" w:rsidP="005E50DE">
            <w:pPr>
              <w:jc w:val="right"/>
              <w:rPr>
                <w:color w:val="000000"/>
                <w:highlight w:val="yellow"/>
              </w:rPr>
            </w:pPr>
          </w:p>
        </w:tc>
      </w:tr>
      <w:tr w:rsidR="00D85459" w:rsidRPr="0073797E" w14:paraId="3E910630" w14:textId="77777777" w:rsidTr="005E50DE">
        <w:trPr>
          <w:trHeight w:val="195"/>
        </w:trPr>
        <w:tc>
          <w:tcPr>
            <w:tcW w:w="3695" w:type="dxa"/>
            <w:tcBorders>
              <w:top w:val="nil"/>
              <w:bottom w:val="single" w:sz="4" w:space="0" w:color="auto"/>
            </w:tcBorders>
            <w:shd w:val="clear" w:color="auto" w:fill="auto"/>
            <w:noWrap/>
            <w:vAlign w:val="bottom"/>
          </w:tcPr>
          <w:p w14:paraId="6BA06B23" w14:textId="77777777" w:rsidR="00D85459" w:rsidRPr="0073797E" w:rsidRDefault="00D85459" w:rsidP="005E50DE">
            <w:pPr>
              <w:rPr>
                <w:b/>
                <w:bCs/>
                <w:color w:val="000000"/>
              </w:rPr>
            </w:pPr>
          </w:p>
        </w:tc>
        <w:tc>
          <w:tcPr>
            <w:tcW w:w="756" w:type="dxa"/>
            <w:tcBorders>
              <w:top w:val="nil"/>
              <w:bottom w:val="single" w:sz="4" w:space="0" w:color="auto"/>
            </w:tcBorders>
            <w:shd w:val="clear" w:color="auto" w:fill="auto"/>
            <w:noWrap/>
            <w:vAlign w:val="bottom"/>
          </w:tcPr>
          <w:p w14:paraId="043B1887" w14:textId="77777777" w:rsidR="00D85459" w:rsidRPr="0073797E" w:rsidRDefault="00D85459" w:rsidP="005E50DE">
            <w:pPr>
              <w:jc w:val="right"/>
              <w:rPr>
                <w:color w:val="000000"/>
              </w:rPr>
            </w:pPr>
          </w:p>
        </w:tc>
        <w:tc>
          <w:tcPr>
            <w:tcW w:w="990" w:type="dxa"/>
            <w:tcBorders>
              <w:top w:val="nil"/>
              <w:bottom w:val="single" w:sz="4" w:space="0" w:color="auto"/>
            </w:tcBorders>
            <w:shd w:val="clear" w:color="auto" w:fill="auto"/>
            <w:noWrap/>
            <w:vAlign w:val="bottom"/>
          </w:tcPr>
          <w:p w14:paraId="6A289B6D" w14:textId="77777777" w:rsidR="00D85459" w:rsidRPr="0073797E" w:rsidRDefault="00D85459" w:rsidP="005E50DE">
            <w:pPr>
              <w:jc w:val="right"/>
              <w:rPr>
                <w:color w:val="000000"/>
              </w:rPr>
            </w:pPr>
          </w:p>
        </w:tc>
        <w:tc>
          <w:tcPr>
            <w:tcW w:w="810" w:type="dxa"/>
            <w:tcBorders>
              <w:top w:val="nil"/>
              <w:bottom w:val="single" w:sz="4" w:space="0" w:color="auto"/>
            </w:tcBorders>
            <w:shd w:val="clear" w:color="auto" w:fill="auto"/>
            <w:noWrap/>
            <w:vAlign w:val="bottom"/>
          </w:tcPr>
          <w:p w14:paraId="32DFA121"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4835447B" w14:textId="77777777" w:rsidR="00D85459" w:rsidRPr="0073797E" w:rsidRDefault="00D85459" w:rsidP="005E50DE">
            <w:pPr>
              <w:jc w:val="right"/>
              <w:rPr>
                <w:color w:val="000000"/>
              </w:rPr>
            </w:pPr>
          </w:p>
        </w:tc>
      </w:tr>
      <w:tr w:rsidR="00D85459" w:rsidRPr="0073797E" w14:paraId="178F1BFC" w14:textId="77777777" w:rsidTr="005E50DE">
        <w:trPr>
          <w:trHeight w:val="195"/>
        </w:trPr>
        <w:tc>
          <w:tcPr>
            <w:tcW w:w="7696" w:type="dxa"/>
            <w:gridSpan w:val="5"/>
            <w:tcBorders>
              <w:top w:val="nil"/>
              <w:bottom w:val="single" w:sz="4" w:space="0" w:color="auto"/>
            </w:tcBorders>
            <w:shd w:val="clear" w:color="auto" w:fill="auto"/>
            <w:noWrap/>
            <w:vAlign w:val="bottom"/>
          </w:tcPr>
          <w:p w14:paraId="5CA741AB" w14:textId="77777777" w:rsidR="00D85459" w:rsidRPr="0073797E" w:rsidRDefault="00D85459" w:rsidP="005E50DE">
            <w:pPr>
              <w:rPr>
                <w:color w:val="000000"/>
              </w:rPr>
            </w:pPr>
            <w:r w:rsidRPr="0073797E">
              <w:rPr>
                <w:b/>
                <w:bCs/>
              </w:rPr>
              <w:t>Mediation Models</w:t>
            </w:r>
          </w:p>
        </w:tc>
      </w:tr>
      <w:tr w:rsidR="00D85459" w:rsidRPr="0073797E" w14:paraId="4518E8B2" w14:textId="77777777" w:rsidTr="005E50DE">
        <w:trPr>
          <w:trHeight w:val="195"/>
        </w:trPr>
        <w:tc>
          <w:tcPr>
            <w:tcW w:w="7696" w:type="dxa"/>
            <w:gridSpan w:val="5"/>
            <w:tcBorders>
              <w:top w:val="nil"/>
              <w:bottom w:val="single" w:sz="4" w:space="0" w:color="auto"/>
            </w:tcBorders>
            <w:shd w:val="clear" w:color="auto" w:fill="auto"/>
            <w:noWrap/>
            <w:vAlign w:val="bottom"/>
          </w:tcPr>
          <w:p w14:paraId="6831445F" w14:textId="77777777" w:rsidR="00D85459" w:rsidRPr="0073797E" w:rsidRDefault="00D85459" w:rsidP="005E50DE">
            <w:pPr>
              <w:jc w:val="right"/>
              <w:rPr>
                <w:color w:val="000000"/>
              </w:rPr>
            </w:pPr>
          </w:p>
        </w:tc>
      </w:tr>
      <w:tr w:rsidR="00D85459" w:rsidRPr="0073797E" w14:paraId="203DE998" w14:textId="77777777" w:rsidTr="005E50DE">
        <w:trPr>
          <w:trHeight w:val="195"/>
        </w:trPr>
        <w:tc>
          <w:tcPr>
            <w:tcW w:w="3695" w:type="dxa"/>
            <w:tcBorders>
              <w:top w:val="nil"/>
              <w:bottom w:val="single" w:sz="4" w:space="0" w:color="auto"/>
            </w:tcBorders>
            <w:shd w:val="clear" w:color="auto" w:fill="auto"/>
            <w:noWrap/>
            <w:vAlign w:val="bottom"/>
          </w:tcPr>
          <w:p w14:paraId="67A3DBFD" w14:textId="77777777" w:rsidR="00D85459" w:rsidRPr="0073797E" w:rsidRDefault="00D85459" w:rsidP="005E50DE">
            <w:pPr>
              <w:rPr>
                <w:b/>
                <w:bCs/>
              </w:rPr>
            </w:pPr>
            <w:r w:rsidRPr="0073797E">
              <w:rPr>
                <w:b/>
                <w:bCs/>
              </w:rPr>
              <w:t xml:space="preserve">Parental </w:t>
            </w:r>
            <w:proofErr w:type="spellStart"/>
            <w:r w:rsidRPr="0073797E">
              <w:rPr>
                <w:b/>
                <w:bCs/>
              </w:rPr>
              <w:t>acceptance</w:t>
            </w:r>
            <w:r>
              <w:rPr>
                <w:b/>
                <w:bCs/>
                <w:vertAlign w:val="superscript"/>
              </w:rPr>
              <w:t>c</w:t>
            </w:r>
            <w:proofErr w:type="spellEnd"/>
            <w:r w:rsidRPr="0073797E">
              <w:rPr>
                <w:b/>
                <w:bCs/>
              </w:rPr>
              <w:t xml:space="preserve"> </w:t>
            </w:r>
          </w:p>
        </w:tc>
        <w:tc>
          <w:tcPr>
            <w:tcW w:w="756" w:type="dxa"/>
            <w:tcBorders>
              <w:top w:val="nil"/>
              <w:bottom w:val="single" w:sz="4" w:space="0" w:color="auto"/>
            </w:tcBorders>
            <w:shd w:val="clear" w:color="auto" w:fill="auto"/>
            <w:noWrap/>
            <w:vAlign w:val="bottom"/>
          </w:tcPr>
          <w:p w14:paraId="143B6542" w14:textId="77777777" w:rsidR="00D85459" w:rsidRPr="0073797E" w:rsidRDefault="00D85459" w:rsidP="005E50DE">
            <w:pPr>
              <w:jc w:val="right"/>
              <w:rPr>
                <w:color w:val="000000"/>
              </w:rPr>
            </w:pPr>
            <w:r w:rsidRPr="0073797E">
              <w:rPr>
                <w:color w:val="000000"/>
              </w:rPr>
              <w:t> </w:t>
            </w:r>
          </w:p>
        </w:tc>
        <w:tc>
          <w:tcPr>
            <w:tcW w:w="990" w:type="dxa"/>
            <w:tcBorders>
              <w:top w:val="nil"/>
              <w:bottom w:val="single" w:sz="4" w:space="0" w:color="auto"/>
            </w:tcBorders>
            <w:shd w:val="clear" w:color="auto" w:fill="auto"/>
            <w:noWrap/>
            <w:vAlign w:val="bottom"/>
          </w:tcPr>
          <w:p w14:paraId="45A8617A" w14:textId="77777777" w:rsidR="00D85459" w:rsidRPr="0073797E" w:rsidRDefault="00D85459" w:rsidP="005E50DE">
            <w:pPr>
              <w:jc w:val="right"/>
              <w:rPr>
                <w:color w:val="000000"/>
              </w:rPr>
            </w:pPr>
            <w:r w:rsidRPr="0073797E">
              <w:rPr>
                <w:color w:val="000000"/>
              </w:rPr>
              <w:t> </w:t>
            </w:r>
          </w:p>
        </w:tc>
        <w:tc>
          <w:tcPr>
            <w:tcW w:w="810" w:type="dxa"/>
            <w:tcBorders>
              <w:top w:val="nil"/>
              <w:bottom w:val="single" w:sz="4" w:space="0" w:color="auto"/>
            </w:tcBorders>
            <w:shd w:val="clear" w:color="auto" w:fill="auto"/>
            <w:noWrap/>
            <w:vAlign w:val="bottom"/>
          </w:tcPr>
          <w:p w14:paraId="67B0709E" w14:textId="77777777" w:rsidR="00D85459" w:rsidRPr="0073797E" w:rsidRDefault="00D85459" w:rsidP="005E50DE">
            <w:pPr>
              <w:jc w:val="right"/>
              <w:rPr>
                <w:color w:val="000000"/>
              </w:rPr>
            </w:pPr>
            <w:r w:rsidRPr="0073797E">
              <w:rPr>
                <w:color w:val="000000"/>
              </w:rPr>
              <w:t> </w:t>
            </w:r>
          </w:p>
        </w:tc>
        <w:tc>
          <w:tcPr>
            <w:tcW w:w="1445" w:type="dxa"/>
            <w:tcBorders>
              <w:top w:val="nil"/>
              <w:left w:val="nil"/>
              <w:bottom w:val="single" w:sz="4" w:space="0" w:color="auto"/>
            </w:tcBorders>
            <w:shd w:val="clear" w:color="auto" w:fill="auto"/>
            <w:noWrap/>
            <w:vAlign w:val="bottom"/>
          </w:tcPr>
          <w:p w14:paraId="76DD3B6E" w14:textId="77777777" w:rsidR="00D85459" w:rsidRPr="0073797E" w:rsidRDefault="00D85459" w:rsidP="005E50DE">
            <w:pPr>
              <w:jc w:val="right"/>
              <w:rPr>
                <w:color w:val="000000"/>
              </w:rPr>
            </w:pPr>
            <w:r w:rsidRPr="0073797E">
              <w:rPr>
                <w:color w:val="000000"/>
              </w:rPr>
              <w:t> </w:t>
            </w:r>
          </w:p>
        </w:tc>
      </w:tr>
      <w:tr w:rsidR="00D85459" w:rsidRPr="0073797E" w14:paraId="7C4CDE59" w14:textId="77777777" w:rsidTr="005E50DE">
        <w:trPr>
          <w:trHeight w:val="195"/>
        </w:trPr>
        <w:tc>
          <w:tcPr>
            <w:tcW w:w="3695" w:type="dxa"/>
            <w:tcBorders>
              <w:top w:val="nil"/>
              <w:bottom w:val="single" w:sz="4" w:space="0" w:color="auto"/>
            </w:tcBorders>
            <w:shd w:val="clear" w:color="auto" w:fill="auto"/>
            <w:noWrap/>
            <w:vAlign w:val="bottom"/>
          </w:tcPr>
          <w:p w14:paraId="02371ECD" w14:textId="77777777" w:rsidR="00D85459" w:rsidRPr="0073797E" w:rsidRDefault="00D85459" w:rsidP="005E50DE">
            <w:r w:rsidRPr="0073797E">
              <w:rPr>
                <w:color w:val="000000"/>
              </w:rPr>
              <w:t>Sexual or gender minority identity</w:t>
            </w:r>
          </w:p>
        </w:tc>
        <w:tc>
          <w:tcPr>
            <w:tcW w:w="756" w:type="dxa"/>
            <w:tcBorders>
              <w:top w:val="nil"/>
              <w:bottom w:val="single" w:sz="4" w:space="0" w:color="auto"/>
            </w:tcBorders>
            <w:shd w:val="clear" w:color="auto" w:fill="auto"/>
            <w:noWrap/>
            <w:vAlign w:val="bottom"/>
          </w:tcPr>
          <w:p w14:paraId="17A542E4" w14:textId="77777777" w:rsidR="00D85459" w:rsidRPr="0073797E" w:rsidRDefault="00D85459" w:rsidP="005E50DE">
            <w:pPr>
              <w:jc w:val="right"/>
              <w:rPr>
                <w:color w:val="000000"/>
              </w:rPr>
            </w:pPr>
            <w:r w:rsidRPr="0073797E">
              <w:rPr>
                <w:color w:val="000000"/>
              </w:rPr>
              <w:t>-0.51</w:t>
            </w:r>
          </w:p>
        </w:tc>
        <w:tc>
          <w:tcPr>
            <w:tcW w:w="990" w:type="dxa"/>
            <w:tcBorders>
              <w:top w:val="single" w:sz="4" w:space="0" w:color="auto"/>
              <w:bottom w:val="single" w:sz="4" w:space="0" w:color="auto"/>
            </w:tcBorders>
            <w:shd w:val="clear" w:color="auto" w:fill="auto"/>
            <w:noWrap/>
            <w:vAlign w:val="bottom"/>
          </w:tcPr>
          <w:p w14:paraId="3A03E2F2"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42263EA6" w14:textId="77777777" w:rsidR="00D85459" w:rsidRPr="0073797E" w:rsidRDefault="00D85459" w:rsidP="005E50DE">
            <w:pPr>
              <w:jc w:val="right"/>
              <w:rPr>
                <w:color w:val="000000"/>
              </w:rPr>
            </w:pPr>
            <w:r w:rsidRPr="0073797E">
              <w:rPr>
                <w:color w:val="000000"/>
              </w:rPr>
              <w:t>0.60</w:t>
            </w:r>
          </w:p>
        </w:tc>
        <w:tc>
          <w:tcPr>
            <w:tcW w:w="1445" w:type="dxa"/>
            <w:tcBorders>
              <w:top w:val="nil"/>
              <w:left w:val="nil"/>
              <w:bottom w:val="single" w:sz="4" w:space="0" w:color="auto"/>
            </w:tcBorders>
            <w:shd w:val="clear" w:color="auto" w:fill="auto"/>
            <w:noWrap/>
            <w:vAlign w:val="bottom"/>
          </w:tcPr>
          <w:p w14:paraId="503E2CE3" w14:textId="77777777" w:rsidR="00D85459" w:rsidRPr="0073797E" w:rsidRDefault="00D85459" w:rsidP="005E50DE">
            <w:pPr>
              <w:jc w:val="right"/>
              <w:rPr>
                <w:color w:val="000000"/>
              </w:rPr>
            </w:pPr>
            <w:r w:rsidRPr="0073797E">
              <w:rPr>
                <w:color w:val="000000"/>
              </w:rPr>
              <w:t>0.53 – 0.68</w:t>
            </w:r>
          </w:p>
        </w:tc>
      </w:tr>
      <w:tr w:rsidR="00D85459" w:rsidRPr="0073797E" w14:paraId="499A4234" w14:textId="77777777" w:rsidTr="005E50DE">
        <w:trPr>
          <w:trHeight w:val="195"/>
        </w:trPr>
        <w:tc>
          <w:tcPr>
            <w:tcW w:w="3695" w:type="dxa"/>
            <w:tcBorders>
              <w:top w:val="nil"/>
              <w:bottom w:val="single" w:sz="4" w:space="0" w:color="auto"/>
            </w:tcBorders>
            <w:shd w:val="clear" w:color="auto" w:fill="auto"/>
            <w:noWrap/>
            <w:vAlign w:val="bottom"/>
          </w:tcPr>
          <w:p w14:paraId="2BFAED07" w14:textId="77777777" w:rsidR="00D85459" w:rsidRPr="0073797E" w:rsidRDefault="00D85459" w:rsidP="005E50DE">
            <w:pPr>
              <w:rPr>
                <w:bCs/>
                <w:color w:val="000000"/>
              </w:rPr>
            </w:pPr>
            <w:r w:rsidRPr="0073797E">
              <w:rPr>
                <w:bCs/>
                <w:color w:val="000000"/>
              </w:rPr>
              <w:t xml:space="preserve">Intercept </w:t>
            </w:r>
          </w:p>
        </w:tc>
        <w:tc>
          <w:tcPr>
            <w:tcW w:w="756" w:type="dxa"/>
            <w:tcBorders>
              <w:top w:val="nil"/>
              <w:bottom w:val="single" w:sz="4" w:space="0" w:color="auto"/>
            </w:tcBorders>
            <w:shd w:val="clear" w:color="auto" w:fill="auto"/>
            <w:noWrap/>
            <w:vAlign w:val="bottom"/>
          </w:tcPr>
          <w:p w14:paraId="5463E036" w14:textId="77777777" w:rsidR="00D85459" w:rsidRPr="0073797E" w:rsidRDefault="00D85459" w:rsidP="005E50DE">
            <w:pPr>
              <w:jc w:val="right"/>
              <w:rPr>
                <w:color w:val="000000"/>
              </w:rPr>
            </w:pPr>
            <w:r w:rsidRPr="0073797E">
              <w:rPr>
                <w:color w:val="000000"/>
              </w:rPr>
              <w:t>13.93</w:t>
            </w:r>
          </w:p>
        </w:tc>
        <w:tc>
          <w:tcPr>
            <w:tcW w:w="990" w:type="dxa"/>
            <w:tcBorders>
              <w:top w:val="nil"/>
              <w:bottom w:val="single" w:sz="4" w:space="0" w:color="auto"/>
            </w:tcBorders>
            <w:shd w:val="clear" w:color="auto" w:fill="auto"/>
            <w:noWrap/>
            <w:vAlign w:val="bottom"/>
          </w:tcPr>
          <w:p w14:paraId="169D5A13"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2D95584E"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5569742A" w14:textId="77777777" w:rsidR="00D85459" w:rsidRPr="0073797E" w:rsidRDefault="00D85459" w:rsidP="005E50DE">
            <w:pPr>
              <w:jc w:val="right"/>
              <w:rPr>
                <w:color w:val="000000"/>
              </w:rPr>
            </w:pPr>
          </w:p>
        </w:tc>
      </w:tr>
      <w:tr w:rsidR="00D85459" w:rsidRPr="0073797E" w14:paraId="61D06DA0" w14:textId="77777777" w:rsidTr="005E50DE">
        <w:trPr>
          <w:trHeight w:val="195"/>
        </w:trPr>
        <w:tc>
          <w:tcPr>
            <w:tcW w:w="3695" w:type="dxa"/>
            <w:tcBorders>
              <w:top w:val="nil"/>
              <w:bottom w:val="single" w:sz="4" w:space="0" w:color="auto"/>
            </w:tcBorders>
            <w:shd w:val="clear" w:color="auto" w:fill="auto"/>
            <w:noWrap/>
            <w:vAlign w:val="bottom"/>
          </w:tcPr>
          <w:p w14:paraId="3DEAA1A7" w14:textId="77777777" w:rsidR="00D85459" w:rsidRPr="0073797E" w:rsidRDefault="00D85459" w:rsidP="005E50DE">
            <w:pPr>
              <w:rPr>
                <w:bCs/>
                <w:color w:val="000000"/>
              </w:rPr>
            </w:pPr>
            <w:r w:rsidRPr="0073797E">
              <w:rPr>
                <w:bCs/>
                <w:color w:val="000000"/>
              </w:rPr>
              <w:t>Error variance</w:t>
            </w:r>
          </w:p>
        </w:tc>
        <w:tc>
          <w:tcPr>
            <w:tcW w:w="756" w:type="dxa"/>
            <w:tcBorders>
              <w:top w:val="nil"/>
              <w:bottom w:val="single" w:sz="4" w:space="0" w:color="auto"/>
            </w:tcBorders>
            <w:shd w:val="clear" w:color="auto" w:fill="auto"/>
            <w:noWrap/>
            <w:vAlign w:val="bottom"/>
          </w:tcPr>
          <w:p w14:paraId="6D48588F" w14:textId="77777777" w:rsidR="00D85459" w:rsidRPr="0073797E" w:rsidRDefault="00D85459" w:rsidP="005E50DE">
            <w:pPr>
              <w:jc w:val="right"/>
              <w:rPr>
                <w:color w:val="000000"/>
              </w:rPr>
            </w:pPr>
            <w:r w:rsidRPr="0073797E">
              <w:rPr>
                <w:color w:val="000000"/>
              </w:rPr>
              <w:t>1.76</w:t>
            </w:r>
          </w:p>
        </w:tc>
        <w:tc>
          <w:tcPr>
            <w:tcW w:w="990" w:type="dxa"/>
            <w:tcBorders>
              <w:top w:val="nil"/>
              <w:bottom w:val="single" w:sz="4" w:space="0" w:color="auto"/>
            </w:tcBorders>
            <w:shd w:val="clear" w:color="auto" w:fill="auto"/>
            <w:noWrap/>
            <w:vAlign w:val="bottom"/>
          </w:tcPr>
          <w:p w14:paraId="0B7A5E70" w14:textId="77777777" w:rsidR="00D85459" w:rsidRPr="0073797E" w:rsidRDefault="00D85459" w:rsidP="005E50DE">
            <w:pPr>
              <w:jc w:val="right"/>
              <w:rPr>
                <w:color w:val="000000"/>
              </w:rPr>
            </w:pPr>
          </w:p>
        </w:tc>
        <w:tc>
          <w:tcPr>
            <w:tcW w:w="810" w:type="dxa"/>
            <w:tcBorders>
              <w:top w:val="nil"/>
              <w:bottom w:val="single" w:sz="4" w:space="0" w:color="auto"/>
            </w:tcBorders>
            <w:shd w:val="clear" w:color="auto" w:fill="auto"/>
            <w:noWrap/>
            <w:vAlign w:val="bottom"/>
          </w:tcPr>
          <w:p w14:paraId="7085A528"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521DF1C1" w14:textId="77777777" w:rsidR="00D85459" w:rsidRPr="0073797E" w:rsidRDefault="00D85459" w:rsidP="005E50DE">
            <w:pPr>
              <w:jc w:val="right"/>
              <w:rPr>
                <w:color w:val="000000"/>
              </w:rPr>
            </w:pPr>
          </w:p>
        </w:tc>
      </w:tr>
      <w:tr w:rsidR="00D85459" w:rsidRPr="0073797E" w14:paraId="2E309910" w14:textId="77777777" w:rsidTr="005E50DE">
        <w:trPr>
          <w:trHeight w:val="195"/>
        </w:trPr>
        <w:tc>
          <w:tcPr>
            <w:tcW w:w="3695" w:type="dxa"/>
            <w:tcBorders>
              <w:top w:val="nil"/>
              <w:bottom w:val="single" w:sz="4" w:space="0" w:color="auto"/>
            </w:tcBorders>
            <w:shd w:val="clear" w:color="auto" w:fill="auto"/>
            <w:noWrap/>
            <w:vAlign w:val="bottom"/>
          </w:tcPr>
          <w:p w14:paraId="140A7E47" w14:textId="77777777" w:rsidR="00D85459" w:rsidRPr="0073797E" w:rsidRDefault="00D85459" w:rsidP="005E50DE">
            <w:pPr>
              <w:rPr>
                <w:bCs/>
                <w:color w:val="000000"/>
              </w:rPr>
            </w:pPr>
            <w:r w:rsidRPr="0073797E">
              <w:rPr>
                <w:bCs/>
                <w:color w:val="000000"/>
              </w:rPr>
              <w:t>Total effect</w:t>
            </w:r>
          </w:p>
        </w:tc>
        <w:tc>
          <w:tcPr>
            <w:tcW w:w="756" w:type="dxa"/>
            <w:tcBorders>
              <w:top w:val="nil"/>
              <w:bottom w:val="single" w:sz="4" w:space="0" w:color="auto"/>
            </w:tcBorders>
            <w:shd w:val="clear" w:color="auto" w:fill="auto"/>
            <w:noWrap/>
            <w:vAlign w:val="bottom"/>
          </w:tcPr>
          <w:p w14:paraId="719B1386" w14:textId="77777777" w:rsidR="00D85459" w:rsidRPr="0073797E" w:rsidRDefault="00D85459" w:rsidP="005E50DE">
            <w:pPr>
              <w:jc w:val="right"/>
              <w:rPr>
                <w:color w:val="000000"/>
              </w:rPr>
            </w:pPr>
            <w:r w:rsidRPr="0073797E">
              <w:rPr>
                <w:color w:val="000000"/>
              </w:rPr>
              <w:t>1.88</w:t>
            </w:r>
          </w:p>
        </w:tc>
        <w:tc>
          <w:tcPr>
            <w:tcW w:w="990" w:type="dxa"/>
            <w:tcBorders>
              <w:top w:val="nil"/>
              <w:bottom w:val="single" w:sz="4" w:space="0" w:color="auto"/>
            </w:tcBorders>
            <w:shd w:val="clear" w:color="auto" w:fill="auto"/>
            <w:noWrap/>
            <w:vAlign w:val="bottom"/>
          </w:tcPr>
          <w:p w14:paraId="6549028C"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3CF3B344" w14:textId="77777777" w:rsidR="00D85459" w:rsidRPr="0073797E" w:rsidRDefault="00D85459" w:rsidP="005E50DE">
            <w:pPr>
              <w:jc w:val="right"/>
              <w:rPr>
                <w:color w:val="000000"/>
              </w:rPr>
            </w:pPr>
            <w:r w:rsidRPr="0073797E">
              <w:rPr>
                <w:color w:val="000000"/>
              </w:rPr>
              <w:t>6.58</w:t>
            </w:r>
          </w:p>
        </w:tc>
        <w:tc>
          <w:tcPr>
            <w:tcW w:w="1445" w:type="dxa"/>
            <w:tcBorders>
              <w:top w:val="nil"/>
              <w:left w:val="nil"/>
              <w:bottom w:val="single" w:sz="4" w:space="0" w:color="auto"/>
            </w:tcBorders>
            <w:shd w:val="clear" w:color="auto" w:fill="auto"/>
            <w:noWrap/>
            <w:vAlign w:val="bottom"/>
          </w:tcPr>
          <w:p w14:paraId="6C30FB96" w14:textId="77777777" w:rsidR="00D85459" w:rsidRPr="0073797E" w:rsidRDefault="00D85459" w:rsidP="005E50DE">
            <w:pPr>
              <w:jc w:val="right"/>
              <w:rPr>
                <w:color w:val="000000"/>
              </w:rPr>
            </w:pPr>
            <w:r w:rsidRPr="0073797E">
              <w:rPr>
                <w:color w:val="000000"/>
              </w:rPr>
              <w:t>4.28 – 10.13</w:t>
            </w:r>
          </w:p>
        </w:tc>
      </w:tr>
      <w:tr w:rsidR="00D85459" w:rsidRPr="0073797E" w14:paraId="349C4549" w14:textId="77777777" w:rsidTr="005E50DE">
        <w:trPr>
          <w:trHeight w:val="154"/>
        </w:trPr>
        <w:tc>
          <w:tcPr>
            <w:tcW w:w="3695" w:type="dxa"/>
            <w:tcBorders>
              <w:top w:val="nil"/>
              <w:bottom w:val="single" w:sz="4" w:space="0" w:color="auto"/>
            </w:tcBorders>
            <w:shd w:val="clear" w:color="auto" w:fill="auto"/>
            <w:noWrap/>
            <w:vAlign w:val="bottom"/>
          </w:tcPr>
          <w:p w14:paraId="196CC020" w14:textId="77777777" w:rsidR="00D85459" w:rsidRPr="0073797E" w:rsidRDefault="00D85459" w:rsidP="005E50DE">
            <w:pPr>
              <w:rPr>
                <w:bCs/>
                <w:color w:val="000000"/>
              </w:rPr>
            </w:pPr>
            <w:r w:rsidRPr="0073797E">
              <w:rPr>
                <w:bCs/>
                <w:color w:val="000000"/>
              </w:rPr>
              <w:t xml:space="preserve">Indirect effect  </w:t>
            </w:r>
          </w:p>
        </w:tc>
        <w:tc>
          <w:tcPr>
            <w:tcW w:w="756" w:type="dxa"/>
            <w:tcBorders>
              <w:top w:val="nil"/>
              <w:bottom w:val="single" w:sz="4" w:space="0" w:color="auto"/>
            </w:tcBorders>
            <w:shd w:val="clear" w:color="auto" w:fill="auto"/>
            <w:noWrap/>
            <w:vAlign w:val="bottom"/>
          </w:tcPr>
          <w:p w14:paraId="7C133FC6" w14:textId="77777777" w:rsidR="00D85459" w:rsidRPr="0073797E" w:rsidRDefault="00D85459" w:rsidP="005E50DE">
            <w:pPr>
              <w:jc w:val="right"/>
              <w:rPr>
                <w:color w:val="000000"/>
              </w:rPr>
            </w:pPr>
            <w:r w:rsidRPr="0073797E">
              <w:rPr>
                <w:color w:val="000000"/>
              </w:rPr>
              <w:t>0.09</w:t>
            </w:r>
          </w:p>
        </w:tc>
        <w:tc>
          <w:tcPr>
            <w:tcW w:w="990" w:type="dxa"/>
            <w:tcBorders>
              <w:top w:val="nil"/>
              <w:bottom w:val="single" w:sz="4" w:space="0" w:color="auto"/>
            </w:tcBorders>
            <w:shd w:val="clear" w:color="auto" w:fill="auto"/>
            <w:noWrap/>
            <w:vAlign w:val="bottom"/>
          </w:tcPr>
          <w:p w14:paraId="098278F5"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6D670360" w14:textId="77777777" w:rsidR="00D85459" w:rsidRPr="0073797E" w:rsidRDefault="00D85459" w:rsidP="005E50DE">
            <w:pPr>
              <w:jc w:val="right"/>
              <w:rPr>
                <w:color w:val="000000"/>
              </w:rPr>
            </w:pPr>
            <w:r w:rsidRPr="0073797E">
              <w:rPr>
                <w:color w:val="000000"/>
              </w:rPr>
              <w:t>1.09</w:t>
            </w:r>
          </w:p>
        </w:tc>
        <w:tc>
          <w:tcPr>
            <w:tcW w:w="1445" w:type="dxa"/>
            <w:tcBorders>
              <w:top w:val="nil"/>
              <w:left w:val="nil"/>
              <w:bottom w:val="single" w:sz="4" w:space="0" w:color="auto"/>
            </w:tcBorders>
            <w:shd w:val="clear" w:color="auto" w:fill="auto"/>
            <w:noWrap/>
            <w:vAlign w:val="bottom"/>
          </w:tcPr>
          <w:p w14:paraId="23F978CE" w14:textId="77777777" w:rsidR="00D85459" w:rsidRPr="0073797E" w:rsidRDefault="00D85459" w:rsidP="005E50DE">
            <w:pPr>
              <w:jc w:val="right"/>
              <w:rPr>
                <w:color w:val="000000"/>
              </w:rPr>
            </w:pPr>
            <w:r w:rsidRPr="0073797E">
              <w:rPr>
                <w:color w:val="000000"/>
              </w:rPr>
              <w:t>1.04 – 1.15</w:t>
            </w:r>
          </w:p>
        </w:tc>
      </w:tr>
      <w:tr w:rsidR="00D85459" w:rsidRPr="0073797E" w14:paraId="023261AB" w14:textId="77777777" w:rsidTr="005E50DE">
        <w:trPr>
          <w:trHeight w:val="195"/>
        </w:trPr>
        <w:tc>
          <w:tcPr>
            <w:tcW w:w="3695" w:type="dxa"/>
            <w:tcBorders>
              <w:top w:val="nil"/>
              <w:bottom w:val="single" w:sz="4" w:space="0" w:color="auto"/>
            </w:tcBorders>
            <w:shd w:val="clear" w:color="auto" w:fill="auto"/>
            <w:noWrap/>
            <w:vAlign w:val="bottom"/>
          </w:tcPr>
          <w:p w14:paraId="6A1AE22D" w14:textId="77777777" w:rsidR="00D85459" w:rsidRPr="0073797E" w:rsidRDefault="00D85459" w:rsidP="005E50DE">
            <w:pPr>
              <w:rPr>
                <w:b/>
                <w:bCs/>
              </w:rPr>
            </w:pPr>
          </w:p>
        </w:tc>
        <w:tc>
          <w:tcPr>
            <w:tcW w:w="756" w:type="dxa"/>
            <w:tcBorders>
              <w:top w:val="nil"/>
              <w:bottom w:val="single" w:sz="4" w:space="0" w:color="auto"/>
            </w:tcBorders>
            <w:shd w:val="clear" w:color="auto" w:fill="auto"/>
            <w:noWrap/>
            <w:vAlign w:val="bottom"/>
          </w:tcPr>
          <w:p w14:paraId="2463BE54" w14:textId="77777777" w:rsidR="00D85459" w:rsidRPr="0073797E" w:rsidRDefault="00D85459" w:rsidP="005E50DE">
            <w:pPr>
              <w:jc w:val="right"/>
              <w:rPr>
                <w:color w:val="000000"/>
              </w:rPr>
            </w:pPr>
          </w:p>
        </w:tc>
        <w:tc>
          <w:tcPr>
            <w:tcW w:w="990" w:type="dxa"/>
            <w:tcBorders>
              <w:top w:val="nil"/>
              <w:bottom w:val="single" w:sz="4" w:space="0" w:color="auto"/>
            </w:tcBorders>
            <w:shd w:val="clear" w:color="auto" w:fill="auto"/>
            <w:noWrap/>
            <w:vAlign w:val="bottom"/>
          </w:tcPr>
          <w:p w14:paraId="21895829" w14:textId="77777777" w:rsidR="00D85459" w:rsidRPr="0073797E" w:rsidRDefault="00D85459" w:rsidP="005E50DE">
            <w:pPr>
              <w:jc w:val="right"/>
              <w:rPr>
                <w:color w:val="000000"/>
              </w:rPr>
            </w:pPr>
          </w:p>
        </w:tc>
        <w:tc>
          <w:tcPr>
            <w:tcW w:w="810" w:type="dxa"/>
            <w:tcBorders>
              <w:top w:val="nil"/>
              <w:bottom w:val="single" w:sz="4" w:space="0" w:color="auto"/>
            </w:tcBorders>
            <w:shd w:val="clear" w:color="auto" w:fill="auto"/>
            <w:noWrap/>
            <w:vAlign w:val="bottom"/>
          </w:tcPr>
          <w:p w14:paraId="2D07E6DA" w14:textId="77777777" w:rsidR="00D85459" w:rsidRPr="0073797E" w:rsidRDefault="00D85459" w:rsidP="005E50DE">
            <w:pPr>
              <w:jc w:val="right"/>
              <w:rPr>
                <w:color w:val="000000"/>
              </w:rPr>
            </w:pPr>
          </w:p>
        </w:tc>
        <w:tc>
          <w:tcPr>
            <w:tcW w:w="1445" w:type="dxa"/>
            <w:tcBorders>
              <w:top w:val="single" w:sz="4" w:space="0" w:color="auto"/>
              <w:left w:val="nil"/>
              <w:bottom w:val="single" w:sz="4" w:space="0" w:color="auto"/>
            </w:tcBorders>
            <w:shd w:val="clear" w:color="auto" w:fill="auto"/>
            <w:noWrap/>
            <w:vAlign w:val="bottom"/>
          </w:tcPr>
          <w:p w14:paraId="232FF763" w14:textId="77777777" w:rsidR="00D85459" w:rsidRPr="0073797E" w:rsidRDefault="00D85459" w:rsidP="005E50DE">
            <w:pPr>
              <w:jc w:val="right"/>
              <w:rPr>
                <w:color w:val="000000"/>
              </w:rPr>
            </w:pPr>
          </w:p>
        </w:tc>
      </w:tr>
      <w:tr w:rsidR="00D85459" w:rsidRPr="0073797E" w14:paraId="3973DBA9" w14:textId="77777777" w:rsidTr="005E50DE">
        <w:trPr>
          <w:trHeight w:val="195"/>
        </w:trPr>
        <w:tc>
          <w:tcPr>
            <w:tcW w:w="3695" w:type="dxa"/>
            <w:tcBorders>
              <w:top w:val="nil"/>
              <w:bottom w:val="single" w:sz="4" w:space="0" w:color="auto"/>
            </w:tcBorders>
            <w:shd w:val="clear" w:color="auto" w:fill="auto"/>
            <w:noWrap/>
            <w:vAlign w:val="bottom"/>
          </w:tcPr>
          <w:p w14:paraId="61D98249" w14:textId="77777777" w:rsidR="00D85459" w:rsidRPr="0073797E" w:rsidRDefault="00D85459" w:rsidP="005E50DE">
            <w:r w:rsidRPr="0073797E">
              <w:rPr>
                <w:b/>
                <w:bCs/>
              </w:rPr>
              <w:t>Family conflict</w:t>
            </w:r>
            <w:r w:rsidRPr="0073797E">
              <w:rPr>
                <w:b/>
                <w:bCs/>
                <w:vertAlign w:val="superscript"/>
              </w:rPr>
              <w:t>#</w:t>
            </w:r>
          </w:p>
        </w:tc>
        <w:tc>
          <w:tcPr>
            <w:tcW w:w="756" w:type="dxa"/>
            <w:tcBorders>
              <w:top w:val="nil"/>
              <w:bottom w:val="single" w:sz="4" w:space="0" w:color="auto"/>
            </w:tcBorders>
            <w:shd w:val="clear" w:color="auto" w:fill="auto"/>
            <w:noWrap/>
            <w:vAlign w:val="bottom"/>
          </w:tcPr>
          <w:p w14:paraId="706807F4" w14:textId="77777777" w:rsidR="00D85459" w:rsidRPr="0073797E" w:rsidRDefault="00D85459" w:rsidP="005E50DE">
            <w:pPr>
              <w:jc w:val="right"/>
              <w:rPr>
                <w:color w:val="000000"/>
              </w:rPr>
            </w:pPr>
          </w:p>
        </w:tc>
        <w:tc>
          <w:tcPr>
            <w:tcW w:w="990" w:type="dxa"/>
            <w:tcBorders>
              <w:top w:val="nil"/>
              <w:bottom w:val="single" w:sz="4" w:space="0" w:color="auto"/>
            </w:tcBorders>
            <w:shd w:val="clear" w:color="auto" w:fill="auto"/>
            <w:noWrap/>
            <w:vAlign w:val="bottom"/>
          </w:tcPr>
          <w:p w14:paraId="62061FE3" w14:textId="77777777" w:rsidR="00D85459" w:rsidRPr="0073797E" w:rsidRDefault="00D85459" w:rsidP="005E50DE">
            <w:pPr>
              <w:jc w:val="right"/>
              <w:rPr>
                <w:color w:val="000000"/>
              </w:rPr>
            </w:pPr>
          </w:p>
        </w:tc>
        <w:tc>
          <w:tcPr>
            <w:tcW w:w="810" w:type="dxa"/>
            <w:tcBorders>
              <w:top w:val="nil"/>
              <w:bottom w:val="single" w:sz="4" w:space="0" w:color="auto"/>
            </w:tcBorders>
            <w:shd w:val="clear" w:color="auto" w:fill="auto"/>
            <w:noWrap/>
            <w:vAlign w:val="bottom"/>
          </w:tcPr>
          <w:p w14:paraId="2002383C"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10341770" w14:textId="77777777" w:rsidR="00D85459" w:rsidRPr="0073797E" w:rsidRDefault="00D85459" w:rsidP="005E50DE">
            <w:pPr>
              <w:jc w:val="right"/>
              <w:rPr>
                <w:color w:val="000000"/>
              </w:rPr>
            </w:pPr>
          </w:p>
        </w:tc>
      </w:tr>
      <w:tr w:rsidR="00D85459" w:rsidRPr="0073797E" w14:paraId="00A4349E" w14:textId="77777777" w:rsidTr="005E50DE">
        <w:trPr>
          <w:trHeight w:val="195"/>
        </w:trPr>
        <w:tc>
          <w:tcPr>
            <w:tcW w:w="3695" w:type="dxa"/>
            <w:tcBorders>
              <w:top w:val="nil"/>
              <w:bottom w:val="single" w:sz="4" w:space="0" w:color="auto"/>
            </w:tcBorders>
            <w:shd w:val="clear" w:color="auto" w:fill="auto"/>
            <w:noWrap/>
            <w:vAlign w:val="bottom"/>
          </w:tcPr>
          <w:p w14:paraId="2CBEB02C" w14:textId="77777777" w:rsidR="00D85459" w:rsidRPr="0073797E" w:rsidRDefault="00D85459" w:rsidP="005E50DE">
            <w:r w:rsidRPr="0073797E">
              <w:rPr>
                <w:color w:val="000000"/>
              </w:rPr>
              <w:t>Sexual or gender minority identity</w:t>
            </w:r>
          </w:p>
        </w:tc>
        <w:tc>
          <w:tcPr>
            <w:tcW w:w="756" w:type="dxa"/>
            <w:tcBorders>
              <w:top w:val="nil"/>
              <w:bottom w:val="single" w:sz="4" w:space="0" w:color="auto"/>
            </w:tcBorders>
            <w:shd w:val="clear" w:color="auto" w:fill="auto"/>
            <w:noWrap/>
            <w:vAlign w:val="bottom"/>
          </w:tcPr>
          <w:p w14:paraId="2A79504B" w14:textId="77777777" w:rsidR="00D85459" w:rsidRPr="0073797E" w:rsidRDefault="00D85459" w:rsidP="005E50DE">
            <w:pPr>
              <w:jc w:val="right"/>
              <w:rPr>
                <w:color w:val="000000"/>
              </w:rPr>
            </w:pPr>
            <w:r w:rsidRPr="0073797E">
              <w:rPr>
                <w:color w:val="000000"/>
              </w:rPr>
              <w:t>0.39</w:t>
            </w:r>
          </w:p>
        </w:tc>
        <w:tc>
          <w:tcPr>
            <w:tcW w:w="990" w:type="dxa"/>
            <w:tcBorders>
              <w:top w:val="nil"/>
              <w:bottom w:val="single" w:sz="4" w:space="0" w:color="auto"/>
            </w:tcBorders>
            <w:shd w:val="clear" w:color="auto" w:fill="auto"/>
            <w:noWrap/>
            <w:vAlign w:val="bottom"/>
          </w:tcPr>
          <w:p w14:paraId="0B0A0B97"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1B6B5821" w14:textId="77777777" w:rsidR="00D85459" w:rsidRPr="0073797E" w:rsidRDefault="00D85459" w:rsidP="005E50DE">
            <w:pPr>
              <w:jc w:val="right"/>
              <w:rPr>
                <w:color w:val="000000"/>
              </w:rPr>
            </w:pPr>
            <w:r w:rsidRPr="0073797E">
              <w:rPr>
                <w:color w:val="000000"/>
              </w:rPr>
              <w:t>1.47</w:t>
            </w:r>
          </w:p>
        </w:tc>
        <w:tc>
          <w:tcPr>
            <w:tcW w:w="1445" w:type="dxa"/>
            <w:tcBorders>
              <w:top w:val="nil"/>
              <w:left w:val="nil"/>
              <w:bottom w:val="single" w:sz="4" w:space="0" w:color="auto"/>
            </w:tcBorders>
            <w:shd w:val="clear" w:color="auto" w:fill="auto"/>
            <w:noWrap/>
            <w:vAlign w:val="bottom"/>
          </w:tcPr>
          <w:p w14:paraId="0020AD47" w14:textId="77777777" w:rsidR="00D85459" w:rsidRPr="0073797E" w:rsidRDefault="00D85459" w:rsidP="005E50DE">
            <w:pPr>
              <w:jc w:val="right"/>
              <w:rPr>
                <w:color w:val="000000"/>
              </w:rPr>
            </w:pPr>
            <w:r w:rsidRPr="0073797E">
              <w:rPr>
                <w:color w:val="000000"/>
              </w:rPr>
              <w:t>1.23 – 1.76</w:t>
            </w:r>
          </w:p>
        </w:tc>
      </w:tr>
      <w:tr w:rsidR="00D85459" w:rsidRPr="0073797E" w14:paraId="4F110885" w14:textId="77777777" w:rsidTr="005E50DE">
        <w:trPr>
          <w:trHeight w:val="195"/>
        </w:trPr>
        <w:tc>
          <w:tcPr>
            <w:tcW w:w="3695" w:type="dxa"/>
            <w:tcBorders>
              <w:top w:val="nil"/>
              <w:bottom w:val="single" w:sz="4" w:space="0" w:color="auto"/>
            </w:tcBorders>
            <w:shd w:val="clear" w:color="auto" w:fill="auto"/>
            <w:noWrap/>
            <w:vAlign w:val="bottom"/>
          </w:tcPr>
          <w:p w14:paraId="3683513D" w14:textId="77777777" w:rsidR="00D85459" w:rsidRPr="0073797E" w:rsidRDefault="00D85459" w:rsidP="005E50DE">
            <w:pPr>
              <w:rPr>
                <w:bCs/>
                <w:color w:val="000000"/>
              </w:rPr>
            </w:pPr>
            <w:r w:rsidRPr="0073797E">
              <w:rPr>
                <w:bCs/>
                <w:color w:val="000000"/>
              </w:rPr>
              <w:t>Intercept</w:t>
            </w:r>
          </w:p>
        </w:tc>
        <w:tc>
          <w:tcPr>
            <w:tcW w:w="756" w:type="dxa"/>
            <w:tcBorders>
              <w:top w:val="nil"/>
              <w:bottom w:val="single" w:sz="4" w:space="0" w:color="auto"/>
            </w:tcBorders>
            <w:shd w:val="clear" w:color="auto" w:fill="auto"/>
            <w:noWrap/>
            <w:vAlign w:val="bottom"/>
          </w:tcPr>
          <w:p w14:paraId="66D07014" w14:textId="77777777" w:rsidR="00D85459" w:rsidRPr="0073797E" w:rsidRDefault="00D85459" w:rsidP="005E50DE">
            <w:pPr>
              <w:jc w:val="right"/>
              <w:rPr>
                <w:color w:val="000000"/>
              </w:rPr>
            </w:pPr>
            <w:r w:rsidRPr="0073797E">
              <w:rPr>
                <w:color w:val="000000"/>
              </w:rPr>
              <w:t>1.90</w:t>
            </w:r>
          </w:p>
        </w:tc>
        <w:tc>
          <w:tcPr>
            <w:tcW w:w="990" w:type="dxa"/>
            <w:tcBorders>
              <w:top w:val="nil"/>
              <w:bottom w:val="single" w:sz="4" w:space="0" w:color="auto"/>
            </w:tcBorders>
            <w:shd w:val="clear" w:color="auto" w:fill="auto"/>
            <w:noWrap/>
            <w:vAlign w:val="bottom"/>
          </w:tcPr>
          <w:p w14:paraId="6568A966"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7B378ABD"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1CD268F4" w14:textId="77777777" w:rsidR="00D85459" w:rsidRPr="0073797E" w:rsidRDefault="00D85459" w:rsidP="005E50DE">
            <w:pPr>
              <w:jc w:val="right"/>
              <w:rPr>
                <w:color w:val="000000"/>
              </w:rPr>
            </w:pPr>
          </w:p>
        </w:tc>
      </w:tr>
      <w:tr w:rsidR="00D85459" w:rsidRPr="0073797E" w14:paraId="5E0A6FA1" w14:textId="77777777" w:rsidTr="005E50DE">
        <w:trPr>
          <w:trHeight w:val="195"/>
        </w:trPr>
        <w:tc>
          <w:tcPr>
            <w:tcW w:w="3695" w:type="dxa"/>
            <w:tcBorders>
              <w:top w:val="nil"/>
              <w:bottom w:val="single" w:sz="4" w:space="0" w:color="auto"/>
            </w:tcBorders>
            <w:shd w:val="clear" w:color="auto" w:fill="auto"/>
            <w:noWrap/>
            <w:vAlign w:val="bottom"/>
          </w:tcPr>
          <w:p w14:paraId="5B80B2C7" w14:textId="77777777" w:rsidR="00D85459" w:rsidRPr="0073797E" w:rsidRDefault="00D85459" w:rsidP="005E50DE">
            <w:pPr>
              <w:rPr>
                <w:bCs/>
                <w:color w:val="000000"/>
              </w:rPr>
            </w:pPr>
            <w:r w:rsidRPr="0073797E">
              <w:rPr>
                <w:bCs/>
                <w:color w:val="000000"/>
              </w:rPr>
              <w:t>Error variance</w:t>
            </w:r>
          </w:p>
        </w:tc>
        <w:tc>
          <w:tcPr>
            <w:tcW w:w="756" w:type="dxa"/>
            <w:tcBorders>
              <w:top w:val="nil"/>
              <w:bottom w:val="single" w:sz="4" w:space="0" w:color="auto"/>
            </w:tcBorders>
            <w:shd w:val="clear" w:color="auto" w:fill="auto"/>
            <w:noWrap/>
            <w:vAlign w:val="bottom"/>
          </w:tcPr>
          <w:p w14:paraId="73575BAD" w14:textId="77777777" w:rsidR="00D85459" w:rsidRPr="0073797E" w:rsidRDefault="00D85459" w:rsidP="005E50DE">
            <w:pPr>
              <w:jc w:val="right"/>
              <w:rPr>
                <w:color w:val="000000"/>
              </w:rPr>
            </w:pPr>
            <w:r w:rsidRPr="0073797E">
              <w:rPr>
                <w:color w:val="000000"/>
              </w:rPr>
              <w:t>3.53</w:t>
            </w:r>
          </w:p>
        </w:tc>
        <w:tc>
          <w:tcPr>
            <w:tcW w:w="990" w:type="dxa"/>
            <w:tcBorders>
              <w:top w:val="nil"/>
              <w:bottom w:val="single" w:sz="4" w:space="0" w:color="auto"/>
            </w:tcBorders>
            <w:shd w:val="clear" w:color="auto" w:fill="auto"/>
            <w:noWrap/>
            <w:vAlign w:val="bottom"/>
          </w:tcPr>
          <w:p w14:paraId="7964DE73" w14:textId="77777777" w:rsidR="00D85459" w:rsidRPr="0073797E" w:rsidRDefault="00D85459" w:rsidP="005E50DE">
            <w:pPr>
              <w:jc w:val="right"/>
              <w:rPr>
                <w:color w:val="000000"/>
              </w:rPr>
            </w:pPr>
          </w:p>
        </w:tc>
        <w:tc>
          <w:tcPr>
            <w:tcW w:w="810" w:type="dxa"/>
            <w:tcBorders>
              <w:top w:val="nil"/>
              <w:bottom w:val="single" w:sz="4" w:space="0" w:color="auto"/>
            </w:tcBorders>
            <w:shd w:val="clear" w:color="auto" w:fill="auto"/>
            <w:noWrap/>
            <w:vAlign w:val="bottom"/>
          </w:tcPr>
          <w:p w14:paraId="2DB6E37B" w14:textId="77777777" w:rsidR="00D85459" w:rsidRPr="0073797E" w:rsidRDefault="00D85459" w:rsidP="005E50DE">
            <w:pPr>
              <w:jc w:val="right"/>
              <w:rPr>
                <w:color w:val="000000"/>
              </w:rPr>
            </w:pPr>
          </w:p>
        </w:tc>
        <w:tc>
          <w:tcPr>
            <w:tcW w:w="1445" w:type="dxa"/>
            <w:tcBorders>
              <w:top w:val="nil"/>
              <w:left w:val="nil"/>
              <w:bottom w:val="single" w:sz="4" w:space="0" w:color="auto"/>
            </w:tcBorders>
            <w:shd w:val="clear" w:color="auto" w:fill="auto"/>
            <w:noWrap/>
            <w:vAlign w:val="bottom"/>
          </w:tcPr>
          <w:p w14:paraId="5C41A958" w14:textId="77777777" w:rsidR="00D85459" w:rsidRPr="0073797E" w:rsidRDefault="00D85459" w:rsidP="005E50DE">
            <w:pPr>
              <w:jc w:val="right"/>
              <w:rPr>
                <w:color w:val="000000"/>
              </w:rPr>
            </w:pPr>
          </w:p>
        </w:tc>
      </w:tr>
      <w:tr w:rsidR="00D85459" w:rsidRPr="0073797E" w14:paraId="24550BE7" w14:textId="77777777" w:rsidTr="005E50DE">
        <w:trPr>
          <w:trHeight w:val="195"/>
        </w:trPr>
        <w:tc>
          <w:tcPr>
            <w:tcW w:w="3695" w:type="dxa"/>
            <w:tcBorders>
              <w:top w:val="nil"/>
              <w:bottom w:val="single" w:sz="4" w:space="0" w:color="auto"/>
            </w:tcBorders>
            <w:shd w:val="clear" w:color="auto" w:fill="auto"/>
            <w:noWrap/>
            <w:vAlign w:val="bottom"/>
          </w:tcPr>
          <w:p w14:paraId="51696B73" w14:textId="77777777" w:rsidR="00D85459" w:rsidRPr="0073797E" w:rsidRDefault="00D85459" w:rsidP="005E50DE">
            <w:pPr>
              <w:rPr>
                <w:bCs/>
                <w:color w:val="000000"/>
              </w:rPr>
            </w:pPr>
            <w:r w:rsidRPr="0073797E">
              <w:rPr>
                <w:bCs/>
                <w:color w:val="000000"/>
              </w:rPr>
              <w:t xml:space="preserve">Total effect </w:t>
            </w:r>
          </w:p>
        </w:tc>
        <w:tc>
          <w:tcPr>
            <w:tcW w:w="756" w:type="dxa"/>
            <w:tcBorders>
              <w:top w:val="nil"/>
              <w:bottom w:val="single" w:sz="4" w:space="0" w:color="auto"/>
            </w:tcBorders>
            <w:shd w:val="clear" w:color="auto" w:fill="auto"/>
            <w:noWrap/>
            <w:vAlign w:val="bottom"/>
          </w:tcPr>
          <w:p w14:paraId="544BED33" w14:textId="77777777" w:rsidR="00D85459" w:rsidRPr="0073797E" w:rsidRDefault="00D85459" w:rsidP="005E50DE">
            <w:pPr>
              <w:jc w:val="right"/>
              <w:rPr>
                <w:color w:val="000000"/>
              </w:rPr>
            </w:pPr>
            <w:r w:rsidRPr="0073797E">
              <w:rPr>
                <w:color w:val="000000"/>
              </w:rPr>
              <w:t>1.89</w:t>
            </w:r>
          </w:p>
        </w:tc>
        <w:tc>
          <w:tcPr>
            <w:tcW w:w="990" w:type="dxa"/>
            <w:tcBorders>
              <w:top w:val="nil"/>
              <w:bottom w:val="single" w:sz="4" w:space="0" w:color="auto"/>
            </w:tcBorders>
            <w:shd w:val="clear" w:color="auto" w:fill="auto"/>
            <w:noWrap/>
            <w:vAlign w:val="bottom"/>
          </w:tcPr>
          <w:p w14:paraId="7FD78FDF"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0BB74FC2" w14:textId="77777777" w:rsidR="00D85459" w:rsidRPr="0073797E" w:rsidRDefault="00D85459" w:rsidP="005E50DE">
            <w:pPr>
              <w:jc w:val="right"/>
              <w:rPr>
                <w:color w:val="000000"/>
              </w:rPr>
            </w:pPr>
            <w:r w:rsidRPr="0073797E">
              <w:rPr>
                <w:color w:val="000000"/>
              </w:rPr>
              <w:t>6.60</w:t>
            </w:r>
          </w:p>
        </w:tc>
        <w:tc>
          <w:tcPr>
            <w:tcW w:w="1445" w:type="dxa"/>
            <w:tcBorders>
              <w:top w:val="nil"/>
              <w:left w:val="nil"/>
              <w:bottom w:val="single" w:sz="4" w:space="0" w:color="auto"/>
            </w:tcBorders>
            <w:shd w:val="clear" w:color="auto" w:fill="auto"/>
            <w:noWrap/>
            <w:vAlign w:val="bottom"/>
          </w:tcPr>
          <w:p w14:paraId="127B6EC4" w14:textId="77777777" w:rsidR="00D85459" w:rsidRPr="0073797E" w:rsidRDefault="00D85459" w:rsidP="005E50DE">
            <w:pPr>
              <w:jc w:val="right"/>
              <w:rPr>
                <w:color w:val="000000"/>
              </w:rPr>
            </w:pPr>
            <w:r w:rsidRPr="0073797E">
              <w:rPr>
                <w:color w:val="000000"/>
              </w:rPr>
              <w:t>4.27 – 10.21</w:t>
            </w:r>
          </w:p>
        </w:tc>
      </w:tr>
      <w:tr w:rsidR="00D85459" w:rsidRPr="0073797E" w14:paraId="261087E2" w14:textId="77777777" w:rsidTr="005E50DE">
        <w:trPr>
          <w:trHeight w:val="195"/>
        </w:trPr>
        <w:tc>
          <w:tcPr>
            <w:tcW w:w="3695" w:type="dxa"/>
            <w:tcBorders>
              <w:top w:val="nil"/>
              <w:bottom w:val="single" w:sz="4" w:space="0" w:color="auto"/>
            </w:tcBorders>
            <w:shd w:val="clear" w:color="auto" w:fill="auto"/>
            <w:noWrap/>
            <w:vAlign w:val="bottom"/>
          </w:tcPr>
          <w:p w14:paraId="6DB66752" w14:textId="77777777" w:rsidR="00D85459" w:rsidRPr="0073797E" w:rsidRDefault="00D85459" w:rsidP="005E50DE">
            <w:pPr>
              <w:rPr>
                <w:bCs/>
                <w:color w:val="000000"/>
              </w:rPr>
            </w:pPr>
            <w:r w:rsidRPr="0073797E">
              <w:rPr>
                <w:bCs/>
                <w:color w:val="000000"/>
              </w:rPr>
              <w:t xml:space="preserve">Indirect effect  </w:t>
            </w:r>
          </w:p>
        </w:tc>
        <w:tc>
          <w:tcPr>
            <w:tcW w:w="756" w:type="dxa"/>
            <w:tcBorders>
              <w:top w:val="nil"/>
              <w:bottom w:val="single" w:sz="4" w:space="0" w:color="auto"/>
            </w:tcBorders>
            <w:shd w:val="clear" w:color="auto" w:fill="auto"/>
            <w:noWrap/>
            <w:vAlign w:val="bottom"/>
          </w:tcPr>
          <w:p w14:paraId="09A69CCB" w14:textId="77777777" w:rsidR="00D85459" w:rsidRPr="0073797E" w:rsidRDefault="00D85459" w:rsidP="005E50DE">
            <w:pPr>
              <w:jc w:val="right"/>
              <w:rPr>
                <w:color w:val="000000"/>
              </w:rPr>
            </w:pPr>
            <w:r w:rsidRPr="0073797E">
              <w:rPr>
                <w:color w:val="000000"/>
              </w:rPr>
              <w:t>0.09</w:t>
            </w:r>
          </w:p>
        </w:tc>
        <w:tc>
          <w:tcPr>
            <w:tcW w:w="990" w:type="dxa"/>
            <w:tcBorders>
              <w:top w:val="nil"/>
              <w:bottom w:val="single" w:sz="4" w:space="0" w:color="auto"/>
            </w:tcBorders>
            <w:shd w:val="clear" w:color="auto" w:fill="auto"/>
            <w:noWrap/>
            <w:vAlign w:val="bottom"/>
          </w:tcPr>
          <w:p w14:paraId="57D9CFB7" w14:textId="77777777" w:rsidR="00D85459" w:rsidRPr="0073797E" w:rsidRDefault="00D85459" w:rsidP="005E50DE">
            <w:pPr>
              <w:jc w:val="right"/>
              <w:rPr>
                <w:color w:val="000000"/>
              </w:rPr>
            </w:pPr>
            <w:r w:rsidRPr="0073797E">
              <w:rPr>
                <w:color w:val="000000"/>
              </w:rPr>
              <w:t>0.001</w:t>
            </w:r>
          </w:p>
        </w:tc>
        <w:tc>
          <w:tcPr>
            <w:tcW w:w="810" w:type="dxa"/>
            <w:tcBorders>
              <w:top w:val="nil"/>
              <w:bottom w:val="single" w:sz="4" w:space="0" w:color="auto"/>
            </w:tcBorders>
            <w:shd w:val="clear" w:color="auto" w:fill="auto"/>
            <w:noWrap/>
            <w:vAlign w:val="bottom"/>
          </w:tcPr>
          <w:p w14:paraId="5A02939E" w14:textId="77777777" w:rsidR="00D85459" w:rsidRPr="0073797E" w:rsidRDefault="00D85459" w:rsidP="005E50DE">
            <w:pPr>
              <w:jc w:val="right"/>
              <w:rPr>
                <w:color w:val="000000"/>
              </w:rPr>
            </w:pPr>
            <w:r w:rsidRPr="0073797E">
              <w:rPr>
                <w:color w:val="000000"/>
              </w:rPr>
              <w:t>1.10</w:t>
            </w:r>
          </w:p>
        </w:tc>
        <w:tc>
          <w:tcPr>
            <w:tcW w:w="1445" w:type="dxa"/>
            <w:tcBorders>
              <w:top w:val="nil"/>
              <w:left w:val="nil"/>
              <w:bottom w:val="single" w:sz="4" w:space="0" w:color="auto"/>
            </w:tcBorders>
            <w:shd w:val="clear" w:color="auto" w:fill="auto"/>
            <w:noWrap/>
            <w:vAlign w:val="bottom"/>
          </w:tcPr>
          <w:p w14:paraId="2FE60312" w14:textId="77777777" w:rsidR="00D85459" w:rsidRPr="0073797E" w:rsidRDefault="00D85459" w:rsidP="005E50DE">
            <w:pPr>
              <w:jc w:val="right"/>
              <w:rPr>
                <w:color w:val="000000"/>
              </w:rPr>
            </w:pPr>
            <w:r w:rsidRPr="0073797E">
              <w:rPr>
                <w:color w:val="000000"/>
              </w:rPr>
              <w:t>1.04 – 1.15</w:t>
            </w:r>
          </w:p>
        </w:tc>
      </w:tr>
    </w:tbl>
    <w:p w14:paraId="6339A15F" w14:textId="77777777" w:rsidR="00D85459" w:rsidRPr="0073797E" w:rsidRDefault="00D85459" w:rsidP="00D85459">
      <w:proofErr w:type="gramStart"/>
      <w:r>
        <w:rPr>
          <w:color w:val="000000"/>
          <w:vertAlign w:val="superscript"/>
        </w:rPr>
        <w:t>a</w:t>
      </w:r>
      <w:proofErr w:type="gramEnd"/>
      <w:r w:rsidRPr="0073797E">
        <w:rPr>
          <w:color w:val="000000"/>
          <w:vertAlign w:val="superscript"/>
        </w:rPr>
        <w:t xml:space="preserve"> </w:t>
      </w:r>
      <w:r w:rsidRPr="0073797E">
        <w:rPr>
          <w:color w:val="000000"/>
        </w:rPr>
        <w:t>Unstandardized betas</w:t>
      </w:r>
    </w:p>
    <w:p w14:paraId="34F0A329" w14:textId="77777777" w:rsidR="00D85459" w:rsidRPr="0073797E" w:rsidRDefault="00D85459" w:rsidP="00D85459">
      <w:pPr>
        <w:pStyle w:val="CommentText"/>
        <w:rPr>
          <w:sz w:val="24"/>
          <w:szCs w:val="24"/>
        </w:rPr>
      </w:pPr>
      <w:proofErr w:type="gramStart"/>
      <w:r>
        <w:rPr>
          <w:sz w:val="24"/>
          <w:szCs w:val="24"/>
          <w:vertAlign w:val="superscript"/>
        </w:rPr>
        <w:t>b</w:t>
      </w:r>
      <w:proofErr w:type="gramEnd"/>
      <w:r w:rsidRPr="0073797E">
        <w:rPr>
          <w:sz w:val="24"/>
          <w:szCs w:val="24"/>
        </w:rPr>
        <w:t xml:space="preserve"> K-SADS diagnoses indicating past or present preparatory actions toward imminent suicidal behavior or a suicide attempt (including an interrupted or aborted attempt)</w:t>
      </w:r>
    </w:p>
    <w:p w14:paraId="0EB03A15" w14:textId="77777777" w:rsidR="00D85459" w:rsidRPr="0073797E" w:rsidRDefault="00D85459" w:rsidP="00D85459">
      <w:pPr>
        <w:pStyle w:val="CommentText"/>
        <w:rPr>
          <w:sz w:val="24"/>
          <w:szCs w:val="24"/>
        </w:rPr>
      </w:pPr>
      <w:proofErr w:type="gramStart"/>
      <w:r>
        <w:rPr>
          <w:sz w:val="24"/>
          <w:szCs w:val="24"/>
          <w:vertAlign w:val="superscript"/>
        </w:rPr>
        <w:t>c</w:t>
      </w:r>
      <w:proofErr w:type="gramEnd"/>
      <w:r w:rsidRPr="0073797E">
        <w:rPr>
          <w:sz w:val="24"/>
          <w:szCs w:val="24"/>
          <w:vertAlign w:val="superscript"/>
        </w:rPr>
        <w:t xml:space="preserve"> </w:t>
      </w:r>
      <w:r w:rsidRPr="0073797E">
        <w:rPr>
          <w:sz w:val="24"/>
          <w:szCs w:val="24"/>
        </w:rPr>
        <w:t>Higher scores indicate greater acceptance; model adjusts for covariates</w:t>
      </w:r>
    </w:p>
    <w:p w14:paraId="19B0F778" w14:textId="77777777" w:rsidR="00D85459" w:rsidRPr="0073797E" w:rsidRDefault="00D85459" w:rsidP="00D85459">
      <w:pPr>
        <w:pStyle w:val="CommentText"/>
        <w:rPr>
          <w:sz w:val="24"/>
          <w:szCs w:val="24"/>
        </w:rPr>
      </w:pPr>
      <w:proofErr w:type="gramStart"/>
      <w:r>
        <w:rPr>
          <w:sz w:val="24"/>
          <w:szCs w:val="24"/>
          <w:vertAlign w:val="superscript"/>
        </w:rPr>
        <w:t>d</w:t>
      </w:r>
      <w:proofErr w:type="gramEnd"/>
      <w:r w:rsidRPr="0073797E">
        <w:rPr>
          <w:sz w:val="24"/>
          <w:szCs w:val="24"/>
        </w:rPr>
        <w:t xml:space="preserve"> Higher scores indicate greater conflict; model adjusts for covariates</w:t>
      </w:r>
    </w:p>
    <w:p w14:paraId="35128725" w14:textId="77777777" w:rsidR="00D85459" w:rsidRPr="0073797E" w:rsidRDefault="00D85459" w:rsidP="00D85459"/>
    <w:p w14:paraId="22D75409" w14:textId="77777777" w:rsidR="00D85459" w:rsidRPr="0073797E" w:rsidRDefault="00D85459" w:rsidP="00D85459">
      <w:pPr>
        <w:rPr>
          <w:b/>
          <w:vertAlign w:val="superscript"/>
        </w:rPr>
      </w:pPr>
    </w:p>
    <w:p w14:paraId="39BF9C96" w14:textId="77777777" w:rsidR="00D85459" w:rsidRDefault="00D85459" w:rsidP="00D85459"/>
    <w:p w14:paraId="103EA316" w14:textId="3AA82F84" w:rsidR="00D85459" w:rsidRDefault="00D85459" w:rsidP="00E179D1">
      <w:pPr>
        <w:pStyle w:val="NoSpacing"/>
        <w:rPr>
          <w:rFonts w:eastAsiaTheme="minorHAnsi"/>
        </w:rPr>
      </w:pPr>
    </w:p>
    <w:p w14:paraId="6133AE92" w14:textId="46D49793" w:rsidR="00D85459" w:rsidRDefault="00D85459" w:rsidP="00E179D1">
      <w:pPr>
        <w:pStyle w:val="NoSpacing"/>
        <w:rPr>
          <w:rFonts w:eastAsiaTheme="minorHAnsi"/>
        </w:rPr>
      </w:pPr>
    </w:p>
    <w:p w14:paraId="64C7BD23" w14:textId="2B280E8C" w:rsidR="00D85459" w:rsidRDefault="00D85459" w:rsidP="00E179D1">
      <w:pPr>
        <w:pStyle w:val="NoSpacing"/>
        <w:rPr>
          <w:rFonts w:eastAsiaTheme="minorHAnsi"/>
        </w:rPr>
      </w:pPr>
    </w:p>
    <w:p w14:paraId="3AC2D69E" w14:textId="077C3223" w:rsidR="00D85459" w:rsidRDefault="00D85459" w:rsidP="00E179D1">
      <w:pPr>
        <w:pStyle w:val="NoSpacing"/>
        <w:rPr>
          <w:rFonts w:eastAsiaTheme="minorHAnsi"/>
        </w:rPr>
      </w:pPr>
    </w:p>
    <w:p w14:paraId="429C15D2" w14:textId="3CEFD352" w:rsidR="00D85459" w:rsidRDefault="00D85459" w:rsidP="00E179D1">
      <w:pPr>
        <w:pStyle w:val="NoSpacing"/>
        <w:rPr>
          <w:rFonts w:eastAsiaTheme="minorHAnsi"/>
        </w:rPr>
      </w:pPr>
    </w:p>
    <w:p w14:paraId="578ACBE7" w14:textId="1018ADA7" w:rsidR="00D85459" w:rsidRDefault="00D85459" w:rsidP="00E179D1">
      <w:pPr>
        <w:pStyle w:val="NoSpacing"/>
        <w:rPr>
          <w:rFonts w:eastAsiaTheme="minorHAnsi"/>
        </w:rPr>
      </w:pPr>
    </w:p>
    <w:p w14:paraId="1DCA9266" w14:textId="49A22C0C" w:rsidR="00D85459" w:rsidRDefault="00D85459" w:rsidP="00E179D1">
      <w:pPr>
        <w:pStyle w:val="NoSpacing"/>
        <w:rPr>
          <w:rFonts w:eastAsiaTheme="minorHAnsi"/>
        </w:rPr>
      </w:pPr>
    </w:p>
    <w:p w14:paraId="6D80B707" w14:textId="11962469" w:rsidR="00D85459" w:rsidRPr="00D85459" w:rsidRDefault="00D85459" w:rsidP="00E179D1">
      <w:pPr>
        <w:pStyle w:val="NoSpacing"/>
        <w:rPr>
          <w:rFonts w:eastAsiaTheme="minorHAnsi"/>
          <w:b/>
        </w:rPr>
      </w:pPr>
      <w:r w:rsidRPr="00D85459">
        <w:rPr>
          <w:rFonts w:eastAsiaTheme="minorHAnsi"/>
          <w:b/>
        </w:rPr>
        <w:lastRenderedPageBreak/>
        <w:t>Figure:</w:t>
      </w:r>
    </w:p>
    <w:p w14:paraId="6EBCF946" w14:textId="26455074" w:rsidR="00D85459" w:rsidRDefault="00D85459" w:rsidP="00E179D1">
      <w:pPr>
        <w:pStyle w:val="NoSpacing"/>
        <w:rPr>
          <w:rFonts w:eastAsiaTheme="minorHAnsi"/>
        </w:rPr>
      </w:pPr>
      <w:r>
        <w:rPr>
          <w:noProof/>
        </w:rPr>
        <w:drawing>
          <wp:inline distT="0" distB="0" distL="0" distR="0" wp14:anchorId="4C2C3F17" wp14:editId="33DFA026">
            <wp:extent cx="5943600" cy="4007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07485"/>
                    </a:xfrm>
                    <a:prstGeom prst="rect">
                      <a:avLst/>
                    </a:prstGeom>
                  </pic:spPr>
                </pic:pic>
              </a:graphicData>
            </a:graphic>
          </wp:inline>
        </w:drawing>
      </w:r>
    </w:p>
    <w:p w14:paraId="15E983AF" w14:textId="77777777" w:rsidR="00D85459" w:rsidRDefault="00D85459" w:rsidP="00E179D1">
      <w:pPr>
        <w:pStyle w:val="NoSpacing"/>
        <w:rPr>
          <w:rFonts w:eastAsiaTheme="minorHAnsi"/>
        </w:rPr>
      </w:pPr>
    </w:p>
    <w:p w14:paraId="43B6DE9B" w14:textId="5986BB7F" w:rsidR="00DA199E" w:rsidRDefault="00DA199E" w:rsidP="00E179D1">
      <w:pPr>
        <w:pStyle w:val="NoSpacing"/>
        <w:rPr>
          <w:rFonts w:eastAsiaTheme="minorHAnsi"/>
        </w:rPr>
      </w:pPr>
    </w:p>
    <w:p w14:paraId="795834BD" w14:textId="77777777" w:rsidR="00DA199E" w:rsidRDefault="00DA199E" w:rsidP="00DA199E">
      <w:r w:rsidRPr="00E678C2">
        <w:rPr>
          <w:b/>
        </w:rPr>
        <w:t xml:space="preserve">Figure </w:t>
      </w:r>
      <w:r>
        <w:rPr>
          <w:b/>
        </w:rPr>
        <w:t>Legend</w:t>
      </w:r>
      <w:r w:rsidRPr="00E678C2">
        <w:rPr>
          <w:b/>
        </w:rPr>
        <w:t xml:space="preserve">: </w:t>
      </w:r>
      <w:r w:rsidRPr="00E678C2">
        <w:t xml:space="preserve">Mediation model </w:t>
      </w:r>
      <w:r>
        <w:t xml:space="preserve">using path analysis </w:t>
      </w:r>
      <w:r w:rsidRPr="001C240A">
        <w:t>demonstrating t</w:t>
      </w:r>
      <w:r w:rsidRPr="001C240A">
        <w:rPr>
          <w:color w:val="000000"/>
        </w:rPr>
        <w:t xml:space="preserve">he relationship between </w:t>
      </w:r>
      <w:r>
        <w:rPr>
          <w:color w:val="000000"/>
        </w:rPr>
        <w:t>sexual and gender minority youth</w:t>
      </w:r>
      <w:r w:rsidRPr="001C240A">
        <w:rPr>
          <w:color w:val="000000"/>
        </w:rPr>
        <w:t xml:space="preserve"> and </w:t>
      </w:r>
      <w:r w:rsidRPr="001C240A">
        <w:t>lifetime suicidal behaviors through family a</w:t>
      </w:r>
      <w:r w:rsidRPr="001C240A">
        <w:rPr>
          <w:color w:val="000000"/>
        </w:rPr>
        <w:t>cceptance and conflict</w:t>
      </w:r>
      <w:r>
        <w:rPr>
          <w:color w:val="000000"/>
        </w:rPr>
        <w:t xml:space="preserve"> (</w:t>
      </w:r>
      <w:r>
        <w:t xml:space="preserve">n </w:t>
      </w:r>
      <w:r w:rsidRPr="00810035">
        <w:t>=</w:t>
      </w:r>
      <w:r>
        <w:t xml:space="preserve"> </w:t>
      </w:r>
      <w:r w:rsidRPr="00810035">
        <w:t>11,235</w:t>
      </w:r>
      <w:r>
        <w:t>)</w:t>
      </w:r>
      <w:r w:rsidRPr="001C240A">
        <w:rPr>
          <w:color w:val="000000"/>
        </w:rPr>
        <w:t>.</w:t>
      </w:r>
      <w:r>
        <w:rPr>
          <w:color w:val="000000"/>
        </w:rPr>
        <w:t xml:space="preserve"> Values along paths are unstandardized betas</w:t>
      </w:r>
      <w:r>
        <w:rPr>
          <w:b/>
        </w:rPr>
        <w:t xml:space="preserve"> </w:t>
      </w:r>
      <w:r w:rsidRPr="00DB445B">
        <w:t xml:space="preserve">from </w:t>
      </w:r>
      <w:r>
        <w:t xml:space="preserve">a </w:t>
      </w:r>
      <w:r w:rsidRPr="001C240A">
        <w:t>binary logistic regression model fitted by the generalized structural equation</w:t>
      </w:r>
      <w:r w:rsidRPr="00DB445B">
        <w:t xml:space="preserve"> </w:t>
      </w:r>
      <w:r w:rsidRPr="001C240A">
        <w:t>in STATA 14.0</w:t>
      </w:r>
      <w:r>
        <w:t>. Variance for error is marked (</w:t>
      </w:r>
      <w:r w:rsidRPr="00DB445B">
        <w:t>ϵ</w:t>
      </w:r>
      <w:r>
        <w:t>) and model intercepts are noted in the boxes.</w:t>
      </w:r>
    </w:p>
    <w:p w14:paraId="20D3D327" w14:textId="26EC3F35" w:rsidR="00DA199E" w:rsidRDefault="00DA199E" w:rsidP="00E179D1">
      <w:pPr>
        <w:pStyle w:val="NoSpacing"/>
        <w:rPr>
          <w:rFonts w:eastAsiaTheme="minorHAnsi"/>
        </w:rPr>
      </w:pPr>
    </w:p>
    <w:p w14:paraId="50419824" w14:textId="7F767D48" w:rsidR="00A0703C" w:rsidRDefault="00A0703C" w:rsidP="00E179D1">
      <w:pPr>
        <w:pStyle w:val="NoSpacing"/>
        <w:rPr>
          <w:rFonts w:eastAsiaTheme="minorHAnsi"/>
        </w:rPr>
      </w:pPr>
    </w:p>
    <w:p w14:paraId="7FB13C0C" w14:textId="4D59932B" w:rsidR="00A0703C" w:rsidRDefault="00A0703C" w:rsidP="00E179D1">
      <w:pPr>
        <w:pStyle w:val="NoSpacing"/>
        <w:rPr>
          <w:rFonts w:eastAsiaTheme="minorHAnsi"/>
        </w:rPr>
      </w:pPr>
    </w:p>
    <w:sectPr w:rsidR="00A0703C" w:rsidSect="00DE06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E082" w14:textId="77777777" w:rsidR="003D41AA" w:rsidRDefault="003D41AA" w:rsidP="00182C94">
      <w:r>
        <w:separator/>
      </w:r>
    </w:p>
  </w:endnote>
  <w:endnote w:type="continuationSeparator" w:id="0">
    <w:p w14:paraId="6207B314" w14:textId="77777777" w:rsidR="003D41AA" w:rsidRDefault="003D41AA" w:rsidP="0018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695100"/>
      <w:docPartObj>
        <w:docPartGallery w:val="Page Numbers (Bottom of Page)"/>
        <w:docPartUnique/>
      </w:docPartObj>
    </w:sdtPr>
    <w:sdtEndPr>
      <w:rPr>
        <w:noProof/>
      </w:rPr>
    </w:sdtEndPr>
    <w:sdtContent>
      <w:p w14:paraId="356FEE01" w14:textId="7240D51A" w:rsidR="009A0401" w:rsidRDefault="009A0401">
        <w:pPr>
          <w:pStyle w:val="Footer"/>
          <w:jc w:val="right"/>
        </w:pPr>
        <w:r>
          <w:fldChar w:fldCharType="begin"/>
        </w:r>
        <w:r>
          <w:instrText xml:space="preserve"> PAGE   \* MERGEFORMAT </w:instrText>
        </w:r>
        <w:r>
          <w:fldChar w:fldCharType="separate"/>
        </w:r>
        <w:r w:rsidR="008D5CA6">
          <w:rPr>
            <w:noProof/>
          </w:rPr>
          <w:t>1</w:t>
        </w:r>
        <w:r>
          <w:rPr>
            <w:noProof/>
          </w:rPr>
          <w:fldChar w:fldCharType="end"/>
        </w:r>
      </w:p>
    </w:sdtContent>
  </w:sdt>
  <w:p w14:paraId="7EBC5CE2" w14:textId="77777777" w:rsidR="009A0401" w:rsidRDefault="009A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3163" w14:textId="77777777" w:rsidR="003D41AA" w:rsidRDefault="003D41AA" w:rsidP="00182C94">
      <w:r>
        <w:separator/>
      </w:r>
    </w:p>
  </w:footnote>
  <w:footnote w:type="continuationSeparator" w:id="0">
    <w:p w14:paraId="7FD0CF2F" w14:textId="77777777" w:rsidR="003D41AA" w:rsidRDefault="003D41AA" w:rsidP="0018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9E0"/>
    <w:multiLevelType w:val="hybridMultilevel"/>
    <w:tmpl w:val="15C6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65ADE"/>
    <w:multiLevelType w:val="hybridMultilevel"/>
    <w:tmpl w:val="79F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20B42"/>
    <w:multiLevelType w:val="hybridMultilevel"/>
    <w:tmpl w:val="DCEE4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D62A1"/>
    <w:multiLevelType w:val="multilevel"/>
    <w:tmpl w:val="05F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66614"/>
    <w:multiLevelType w:val="hybridMultilevel"/>
    <w:tmpl w:val="CCEC2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85329"/>
    <w:multiLevelType w:val="hybridMultilevel"/>
    <w:tmpl w:val="728C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E2F77"/>
    <w:multiLevelType w:val="multilevel"/>
    <w:tmpl w:val="41329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30D4E"/>
    <w:multiLevelType w:val="hybridMultilevel"/>
    <w:tmpl w:val="DC8680E4"/>
    <w:lvl w:ilvl="0" w:tplc="1A602AFE">
      <w:start w:val="3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D1E93"/>
    <w:multiLevelType w:val="hybridMultilevel"/>
    <w:tmpl w:val="2EF86E46"/>
    <w:lvl w:ilvl="0" w:tplc="1A602AFE">
      <w:start w:val="3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247E87"/>
    <w:multiLevelType w:val="hybridMultilevel"/>
    <w:tmpl w:val="B00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8409D"/>
    <w:multiLevelType w:val="hybridMultilevel"/>
    <w:tmpl w:val="FCA4C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C92C60"/>
    <w:multiLevelType w:val="hybridMultilevel"/>
    <w:tmpl w:val="D78A4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345BF"/>
    <w:multiLevelType w:val="hybridMultilevel"/>
    <w:tmpl w:val="337A4FC8"/>
    <w:lvl w:ilvl="0" w:tplc="1A602AFE">
      <w:start w:val="3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1"/>
  </w:num>
  <w:num w:numId="5">
    <w:abstractNumId w:val="6"/>
  </w:num>
  <w:num w:numId="6">
    <w:abstractNumId w:val="10"/>
  </w:num>
  <w:num w:numId="7">
    <w:abstractNumId w:val="9"/>
  </w:num>
  <w:num w:numId="8">
    <w:abstractNumId w:val="1"/>
  </w:num>
  <w:num w:numId="9">
    <w:abstractNumId w:val="0"/>
  </w:num>
  <w:num w:numId="10">
    <w:abstractNumId w:val="3"/>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16"/>
    <w:rsid w:val="00000154"/>
    <w:rsid w:val="00000B6C"/>
    <w:rsid w:val="00007BF2"/>
    <w:rsid w:val="00015C2B"/>
    <w:rsid w:val="00021E13"/>
    <w:rsid w:val="00026A1F"/>
    <w:rsid w:val="00030B24"/>
    <w:rsid w:val="00034DFC"/>
    <w:rsid w:val="000361F5"/>
    <w:rsid w:val="000448BF"/>
    <w:rsid w:val="000460F2"/>
    <w:rsid w:val="00047AFA"/>
    <w:rsid w:val="00050896"/>
    <w:rsid w:val="00053B1D"/>
    <w:rsid w:val="000542C2"/>
    <w:rsid w:val="00061C98"/>
    <w:rsid w:val="00071161"/>
    <w:rsid w:val="00077F93"/>
    <w:rsid w:val="0008159E"/>
    <w:rsid w:val="00086954"/>
    <w:rsid w:val="00092D63"/>
    <w:rsid w:val="00093A8B"/>
    <w:rsid w:val="00096F90"/>
    <w:rsid w:val="000A58F6"/>
    <w:rsid w:val="000A7B84"/>
    <w:rsid w:val="000B0B57"/>
    <w:rsid w:val="000B7170"/>
    <w:rsid w:val="000C1529"/>
    <w:rsid w:val="000C5988"/>
    <w:rsid w:val="000C7140"/>
    <w:rsid w:val="000D5090"/>
    <w:rsid w:val="000E18D7"/>
    <w:rsid w:val="000E1A85"/>
    <w:rsid w:val="000E4324"/>
    <w:rsid w:val="000E5988"/>
    <w:rsid w:val="000F12AA"/>
    <w:rsid w:val="000F66E1"/>
    <w:rsid w:val="00100FCB"/>
    <w:rsid w:val="0010118D"/>
    <w:rsid w:val="0010262E"/>
    <w:rsid w:val="0011539F"/>
    <w:rsid w:val="00120943"/>
    <w:rsid w:val="0013320E"/>
    <w:rsid w:val="0013507E"/>
    <w:rsid w:val="00150359"/>
    <w:rsid w:val="00153F73"/>
    <w:rsid w:val="00156A6E"/>
    <w:rsid w:val="001576D1"/>
    <w:rsid w:val="0016269C"/>
    <w:rsid w:val="00163906"/>
    <w:rsid w:val="001744AD"/>
    <w:rsid w:val="00176992"/>
    <w:rsid w:val="00176B7F"/>
    <w:rsid w:val="00180A11"/>
    <w:rsid w:val="00182C94"/>
    <w:rsid w:val="001833C9"/>
    <w:rsid w:val="0018506C"/>
    <w:rsid w:val="001950EA"/>
    <w:rsid w:val="001A366E"/>
    <w:rsid w:val="001A37E7"/>
    <w:rsid w:val="001A3894"/>
    <w:rsid w:val="001A67B0"/>
    <w:rsid w:val="001A6BE3"/>
    <w:rsid w:val="001B04C4"/>
    <w:rsid w:val="001B0976"/>
    <w:rsid w:val="001B1444"/>
    <w:rsid w:val="001B68B1"/>
    <w:rsid w:val="001B77ED"/>
    <w:rsid w:val="001C03B3"/>
    <w:rsid w:val="001C240A"/>
    <w:rsid w:val="001C4496"/>
    <w:rsid w:val="001D117C"/>
    <w:rsid w:val="001D1291"/>
    <w:rsid w:val="001D7DC5"/>
    <w:rsid w:val="001F13D3"/>
    <w:rsid w:val="001F26E3"/>
    <w:rsid w:val="001F4327"/>
    <w:rsid w:val="001F5951"/>
    <w:rsid w:val="001F5B65"/>
    <w:rsid w:val="001F5EBE"/>
    <w:rsid w:val="002023F1"/>
    <w:rsid w:val="00207BD0"/>
    <w:rsid w:val="00215222"/>
    <w:rsid w:val="0022108F"/>
    <w:rsid w:val="002235CC"/>
    <w:rsid w:val="002263B7"/>
    <w:rsid w:val="00231177"/>
    <w:rsid w:val="00232DCE"/>
    <w:rsid w:val="002369B9"/>
    <w:rsid w:val="00237AA0"/>
    <w:rsid w:val="00237CAD"/>
    <w:rsid w:val="00240A4A"/>
    <w:rsid w:val="0024479A"/>
    <w:rsid w:val="002520A1"/>
    <w:rsid w:val="00252BA8"/>
    <w:rsid w:val="00255166"/>
    <w:rsid w:val="002555B2"/>
    <w:rsid w:val="00261C70"/>
    <w:rsid w:val="00262D6C"/>
    <w:rsid w:val="00264AC8"/>
    <w:rsid w:val="00266FF0"/>
    <w:rsid w:val="00271A6F"/>
    <w:rsid w:val="00272FFD"/>
    <w:rsid w:val="002908B6"/>
    <w:rsid w:val="0029244A"/>
    <w:rsid w:val="002A0C43"/>
    <w:rsid w:val="002B3358"/>
    <w:rsid w:val="002B6312"/>
    <w:rsid w:val="002B6378"/>
    <w:rsid w:val="002B6771"/>
    <w:rsid w:val="002C0633"/>
    <w:rsid w:val="002C4CBD"/>
    <w:rsid w:val="002C5232"/>
    <w:rsid w:val="002C680D"/>
    <w:rsid w:val="002D043D"/>
    <w:rsid w:val="002D32E7"/>
    <w:rsid w:val="002D69E5"/>
    <w:rsid w:val="002E0A17"/>
    <w:rsid w:val="002E2E8F"/>
    <w:rsid w:val="002E4D1F"/>
    <w:rsid w:val="002E6537"/>
    <w:rsid w:val="002F3BA2"/>
    <w:rsid w:val="002F4850"/>
    <w:rsid w:val="002F500A"/>
    <w:rsid w:val="002F59B1"/>
    <w:rsid w:val="002F6A15"/>
    <w:rsid w:val="002F6AA4"/>
    <w:rsid w:val="002F6ED4"/>
    <w:rsid w:val="00301298"/>
    <w:rsid w:val="0030194E"/>
    <w:rsid w:val="00303745"/>
    <w:rsid w:val="00304F95"/>
    <w:rsid w:val="00306849"/>
    <w:rsid w:val="003179C7"/>
    <w:rsid w:val="00322CE4"/>
    <w:rsid w:val="003258C1"/>
    <w:rsid w:val="00325C81"/>
    <w:rsid w:val="0032708A"/>
    <w:rsid w:val="00333EA9"/>
    <w:rsid w:val="00341A4D"/>
    <w:rsid w:val="00341A50"/>
    <w:rsid w:val="00345129"/>
    <w:rsid w:val="00362B07"/>
    <w:rsid w:val="00366D1B"/>
    <w:rsid w:val="0037575F"/>
    <w:rsid w:val="00380732"/>
    <w:rsid w:val="00380C79"/>
    <w:rsid w:val="003848C2"/>
    <w:rsid w:val="003864E6"/>
    <w:rsid w:val="00391F36"/>
    <w:rsid w:val="00396ED2"/>
    <w:rsid w:val="003A1A67"/>
    <w:rsid w:val="003A3688"/>
    <w:rsid w:val="003A5F35"/>
    <w:rsid w:val="003A659D"/>
    <w:rsid w:val="003B3CCB"/>
    <w:rsid w:val="003B74A9"/>
    <w:rsid w:val="003B7B2E"/>
    <w:rsid w:val="003C37D6"/>
    <w:rsid w:val="003C6A97"/>
    <w:rsid w:val="003D3050"/>
    <w:rsid w:val="003D41AA"/>
    <w:rsid w:val="003D58D1"/>
    <w:rsid w:val="003E038E"/>
    <w:rsid w:val="003E18A7"/>
    <w:rsid w:val="003E2FE9"/>
    <w:rsid w:val="003E40FE"/>
    <w:rsid w:val="003F19B2"/>
    <w:rsid w:val="003F34B1"/>
    <w:rsid w:val="003F3B76"/>
    <w:rsid w:val="003F3D13"/>
    <w:rsid w:val="00400DDB"/>
    <w:rsid w:val="0040434E"/>
    <w:rsid w:val="004059E9"/>
    <w:rsid w:val="00417B06"/>
    <w:rsid w:val="00425DFB"/>
    <w:rsid w:val="00433531"/>
    <w:rsid w:val="00435D9F"/>
    <w:rsid w:val="00437E04"/>
    <w:rsid w:val="00440518"/>
    <w:rsid w:val="004467CA"/>
    <w:rsid w:val="0044683B"/>
    <w:rsid w:val="004533FA"/>
    <w:rsid w:val="0045632D"/>
    <w:rsid w:val="004577BB"/>
    <w:rsid w:val="00460778"/>
    <w:rsid w:val="004711DF"/>
    <w:rsid w:val="00481C17"/>
    <w:rsid w:val="004830C2"/>
    <w:rsid w:val="004831FA"/>
    <w:rsid w:val="00485986"/>
    <w:rsid w:val="00485D4B"/>
    <w:rsid w:val="004A101C"/>
    <w:rsid w:val="004A2305"/>
    <w:rsid w:val="004B7FD6"/>
    <w:rsid w:val="004C2070"/>
    <w:rsid w:val="004C5224"/>
    <w:rsid w:val="004C5371"/>
    <w:rsid w:val="004D5B51"/>
    <w:rsid w:val="004D67B7"/>
    <w:rsid w:val="004E2C5A"/>
    <w:rsid w:val="004E3A00"/>
    <w:rsid w:val="004E7E50"/>
    <w:rsid w:val="004F751A"/>
    <w:rsid w:val="0050210C"/>
    <w:rsid w:val="005155E2"/>
    <w:rsid w:val="0051571C"/>
    <w:rsid w:val="005247F5"/>
    <w:rsid w:val="00525F47"/>
    <w:rsid w:val="00526AF8"/>
    <w:rsid w:val="0053774E"/>
    <w:rsid w:val="00541063"/>
    <w:rsid w:val="005410FF"/>
    <w:rsid w:val="00542705"/>
    <w:rsid w:val="0055054C"/>
    <w:rsid w:val="00563287"/>
    <w:rsid w:val="00565D6B"/>
    <w:rsid w:val="00567B5B"/>
    <w:rsid w:val="00574CE9"/>
    <w:rsid w:val="00584D66"/>
    <w:rsid w:val="005860FC"/>
    <w:rsid w:val="00592EB4"/>
    <w:rsid w:val="005A2648"/>
    <w:rsid w:val="005B1066"/>
    <w:rsid w:val="005B2E0E"/>
    <w:rsid w:val="005B31CA"/>
    <w:rsid w:val="005B51E5"/>
    <w:rsid w:val="005D040E"/>
    <w:rsid w:val="005D2434"/>
    <w:rsid w:val="005D2790"/>
    <w:rsid w:val="005D5073"/>
    <w:rsid w:val="005E2701"/>
    <w:rsid w:val="005E29AF"/>
    <w:rsid w:val="005E2AAC"/>
    <w:rsid w:val="005E4952"/>
    <w:rsid w:val="005E7B0C"/>
    <w:rsid w:val="005F109A"/>
    <w:rsid w:val="005F4ADD"/>
    <w:rsid w:val="005F61C1"/>
    <w:rsid w:val="00602FD0"/>
    <w:rsid w:val="00604FD3"/>
    <w:rsid w:val="00605C1E"/>
    <w:rsid w:val="00607864"/>
    <w:rsid w:val="00607B80"/>
    <w:rsid w:val="00610025"/>
    <w:rsid w:val="006167A8"/>
    <w:rsid w:val="0062012F"/>
    <w:rsid w:val="00625B72"/>
    <w:rsid w:val="006319FE"/>
    <w:rsid w:val="00633DBD"/>
    <w:rsid w:val="00635451"/>
    <w:rsid w:val="00640161"/>
    <w:rsid w:val="0064246A"/>
    <w:rsid w:val="00644331"/>
    <w:rsid w:val="00645403"/>
    <w:rsid w:val="006454A9"/>
    <w:rsid w:val="006460BD"/>
    <w:rsid w:val="00652EF4"/>
    <w:rsid w:val="00656831"/>
    <w:rsid w:val="00657AD7"/>
    <w:rsid w:val="00675F7F"/>
    <w:rsid w:val="0067708D"/>
    <w:rsid w:val="0068030D"/>
    <w:rsid w:val="00692894"/>
    <w:rsid w:val="0069672D"/>
    <w:rsid w:val="006A344E"/>
    <w:rsid w:val="006B14D1"/>
    <w:rsid w:val="006B2AAA"/>
    <w:rsid w:val="006B3430"/>
    <w:rsid w:val="006C297B"/>
    <w:rsid w:val="006D1F52"/>
    <w:rsid w:val="006D4A45"/>
    <w:rsid w:val="006D7658"/>
    <w:rsid w:val="006D77EE"/>
    <w:rsid w:val="006E01DC"/>
    <w:rsid w:val="006E6110"/>
    <w:rsid w:val="006F30C4"/>
    <w:rsid w:val="006F7F42"/>
    <w:rsid w:val="007012B7"/>
    <w:rsid w:val="00701B39"/>
    <w:rsid w:val="00706FFB"/>
    <w:rsid w:val="00713262"/>
    <w:rsid w:val="00716805"/>
    <w:rsid w:val="007218EE"/>
    <w:rsid w:val="007220DA"/>
    <w:rsid w:val="0072671A"/>
    <w:rsid w:val="007268DD"/>
    <w:rsid w:val="007269F4"/>
    <w:rsid w:val="00743267"/>
    <w:rsid w:val="007440A5"/>
    <w:rsid w:val="00744C25"/>
    <w:rsid w:val="00753031"/>
    <w:rsid w:val="00755339"/>
    <w:rsid w:val="007560B5"/>
    <w:rsid w:val="00757197"/>
    <w:rsid w:val="00761C83"/>
    <w:rsid w:val="00766D1E"/>
    <w:rsid w:val="00767399"/>
    <w:rsid w:val="007709A6"/>
    <w:rsid w:val="00775443"/>
    <w:rsid w:val="00775C69"/>
    <w:rsid w:val="00776D64"/>
    <w:rsid w:val="00787654"/>
    <w:rsid w:val="007932A1"/>
    <w:rsid w:val="00796568"/>
    <w:rsid w:val="00797704"/>
    <w:rsid w:val="007A0DCD"/>
    <w:rsid w:val="007A2A89"/>
    <w:rsid w:val="007A2AF7"/>
    <w:rsid w:val="007A48D5"/>
    <w:rsid w:val="007A7AF1"/>
    <w:rsid w:val="007B06AF"/>
    <w:rsid w:val="007B340F"/>
    <w:rsid w:val="007B3572"/>
    <w:rsid w:val="007B557E"/>
    <w:rsid w:val="007C0581"/>
    <w:rsid w:val="007C0E5F"/>
    <w:rsid w:val="007C1AB6"/>
    <w:rsid w:val="007C4A6F"/>
    <w:rsid w:val="007C57EB"/>
    <w:rsid w:val="007C5985"/>
    <w:rsid w:val="007D0006"/>
    <w:rsid w:val="007D08FC"/>
    <w:rsid w:val="007D7968"/>
    <w:rsid w:val="007E23BC"/>
    <w:rsid w:val="007E2E3A"/>
    <w:rsid w:val="007E7BA4"/>
    <w:rsid w:val="007F2B4A"/>
    <w:rsid w:val="007F5408"/>
    <w:rsid w:val="007F57B0"/>
    <w:rsid w:val="007F5ABA"/>
    <w:rsid w:val="00800639"/>
    <w:rsid w:val="00801C4A"/>
    <w:rsid w:val="008058AF"/>
    <w:rsid w:val="00810035"/>
    <w:rsid w:val="008174B4"/>
    <w:rsid w:val="00817B03"/>
    <w:rsid w:val="008238BF"/>
    <w:rsid w:val="00826C1D"/>
    <w:rsid w:val="0083386D"/>
    <w:rsid w:val="00833ADD"/>
    <w:rsid w:val="008355C1"/>
    <w:rsid w:val="00837809"/>
    <w:rsid w:val="00837FF3"/>
    <w:rsid w:val="00840000"/>
    <w:rsid w:val="008406EF"/>
    <w:rsid w:val="00841070"/>
    <w:rsid w:val="0084282A"/>
    <w:rsid w:val="008428C7"/>
    <w:rsid w:val="008466C6"/>
    <w:rsid w:val="00847E08"/>
    <w:rsid w:val="00850F4E"/>
    <w:rsid w:val="00855C0C"/>
    <w:rsid w:val="00856716"/>
    <w:rsid w:val="00867EE6"/>
    <w:rsid w:val="00867EF6"/>
    <w:rsid w:val="008701C9"/>
    <w:rsid w:val="00880E6B"/>
    <w:rsid w:val="00882868"/>
    <w:rsid w:val="008862C9"/>
    <w:rsid w:val="00887D30"/>
    <w:rsid w:val="00892B23"/>
    <w:rsid w:val="00895DCB"/>
    <w:rsid w:val="008A18B8"/>
    <w:rsid w:val="008A1D1E"/>
    <w:rsid w:val="008A3F95"/>
    <w:rsid w:val="008A5A2E"/>
    <w:rsid w:val="008B1818"/>
    <w:rsid w:val="008B18FB"/>
    <w:rsid w:val="008C0B2D"/>
    <w:rsid w:val="008D1148"/>
    <w:rsid w:val="008D3F31"/>
    <w:rsid w:val="008D4E67"/>
    <w:rsid w:val="008D5CA6"/>
    <w:rsid w:val="008D748D"/>
    <w:rsid w:val="008D762D"/>
    <w:rsid w:val="008E2BE1"/>
    <w:rsid w:val="008E6B2B"/>
    <w:rsid w:val="008F2DD6"/>
    <w:rsid w:val="008F42E9"/>
    <w:rsid w:val="00901B28"/>
    <w:rsid w:val="009029AC"/>
    <w:rsid w:val="00905985"/>
    <w:rsid w:val="009062B1"/>
    <w:rsid w:val="00906A46"/>
    <w:rsid w:val="009107F3"/>
    <w:rsid w:val="00923866"/>
    <w:rsid w:val="00923FBC"/>
    <w:rsid w:val="00926CEB"/>
    <w:rsid w:val="00934F42"/>
    <w:rsid w:val="00937592"/>
    <w:rsid w:val="00942425"/>
    <w:rsid w:val="00942F27"/>
    <w:rsid w:val="00947557"/>
    <w:rsid w:val="00950BB8"/>
    <w:rsid w:val="0095307C"/>
    <w:rsid w:val="0095454B"/>
    <w:rsid w:val="00955097"/>
    <w:rsid w:val="00957DA0"/>
    <w:rsid w:val="00964874"/>
    <w:rsid w:val="0096769C"/>
    <w:rsid w:val="00972943"/>
    <w:rsid w:val="009754A4"/>
    <w:rsid w:val="00983568"/>
    <w:rsid w:val="00991485"/>
    <w:rsid w:val="0099376D"/>
    <w:rsid w:val="00993DDA"/>
    <w:rsid w:val="009979B6"/>
    <w:rsid w:val="009A0401"/>
    <w:rsid w:val="009A5801"/>
    <w:rsid w:val="009B424E"/>
    <w:rsid w:val="009C034D"/>
    <w:rsid w:val="009C130D"/>
    <w:rsid w:val="009C5AB7"/>
    <w:rsid w:val="009C62E3"/>
    <w:rsid w:val="009C6785"/>
    <w:rsid w:val="009C6858"/>
    <w:rsid w:val="009C6A13"/>
    <w:rsid w:val="009D27B6"/>
    <w:rsid w:val="009D30D7"/>
    <w:rsid w:val="009D4902"/>
    <w:rsid w:val="009D5831"/>
    <w:rsid w:val="009D7672"/>
    <w:rsid w:val="009D7D50"/>
    <w:rsid w:val="009E1342"/>
    <w:rsid w:val="009E3507"/>
    <w:rsid w:val="009E6ED7"/>
    <w:rsid w:val="009F28B9"/>
    <w:rsid w:val="009F4BC7"/>
    <w:rsid w:val="009F4D69"/>
    <w:rsid w:val="00A00F8B"/>
    <w:rsid w:val="00A06B2A"/>
    <w:rsid w:val="00A0703C"/>
    <w:rsid w:val="00A101C4"/>
    <w:rsid w:val="00A12D31"/>
    <w:rsid w:val="00A13283"/>
    <w:rsid w:val="00A20F0D"/>
    <w:rsid w:val="00A22C02"/>
    <w:rsid w:val="00A268B3"/>
    <w:rsid w:val="00A306F8"/>
    <w:rsid w:val="00A3434C"/>
    <w:rsid w:val="00A40DD8"/>
    <w:rsid w:val="00A4217E"/>
    <w:rsid w:val="00A44108"/>
    <w:rsid w:val="00A44388"/>
    <w:rsid w:val="00A62318"/>
    <w:rsid w:val="00A6303D"/>
    <w:rsid w:val="00A64D77"/>
    <w:rsid w:val="00A72B08"/>
    <w:rsid w:val="00A75378"/>
    <w:rsid w:val="00A82E54"/>
    <w:rsid w:val="00A869AB"/>
    <w:rsid w:val="00A9548F"/>
    <w:rsid w:val="00AA2C14"/>
    <w:rsid w:val="00AA4911"/>
    <w:rsid w:val="00AA4E9B"/>
    <w:rsid w:val="00AA6C58"/>
    <w:rsid w:val="00AB1B5D"/>
    <w:rsid w:val="00AB3004"/>
    <w:rsid w:val="00AB388D"/>
    <w:rsid w:val="00AC109B"/>
    <w:rsid w:val="00AC1198"/>
    <w:rsid w:val="00AC2EA7"/>
    <w:rsid w:val="00AD0B64"/>
    <w:rsid w:val="00AD1D42"/>
    <w:rsid w:val="00AD649C"/>
    <w:rsid w:val="00AE06AC"/>
    <w:rsid w:val="00AE6BE9"/>
    <w:rsid w:val="00AF12D7"/>
    <w:rsid w:val="00AF16C4"/>
    <w:rsid w:val="00AF7F48"/>
    <w:rsid w:val="00B03CC8"/>
    <w:rsid w:val="00B04E67"/>
    <w:rsid w:val="00B050E4"/>
    <w:rsid w:val="00B12A2D"/>
    <w:rsid w:val="00B16675"/>
    <w:rsid w:val="00B179CA"/>
    <w:rsid w:val="00B20DB5"/>
    <w:rsid w:val="00B234AC"/>
    <w:rsid w:val="00B27CB8"/>
    <w:rsid w:val="00B34565"/>
    <w:rsid w:val="00B35496"/>
    <w:rsid w:val="00B36736"/>
    <w:rsid w:val="00B40091"/>
    <w:rsid w:val="00B4341A"/>
    <w:rsid w:val="00B54E7F"/>
    <w:rsid w:val="00B57D29"/>
    <w:rsid w:val="00B61244"/>
    <w:rsid w:val="00B64CDD"/>
    <w:rsid w:val="00B65B4E"/>
    <w:rsid w:val="00B70D6B"/>
    <w:rsid w:val="00B72361"/>
    <w:rsid w:val="00B72E81"/>
    <w:rsid w:val="00B776B5"/>
    <w:rsid w:val="00B778EE"/>
    <w:rsid w:val="00B81099"/>
    <w:rsid w:val="00B82E2B"/>
    <w:rsid w:val="00B83183"/>
    <w:rsid w:val="00B875D6"/>
    <w:rsid w:val="00B9105B"/>
    <w:rsid w:val="00B93B92"/>
    <w:rsid w:val="00BA31BE"/>
    <w:rsid w:val="00BA40C9"/>
    <w:rsid w:val="00BA518A"/>
    <w:rsid w:val="00BA77FB"/>
    <w:rsid w:val="00BB0C24"/>
    <w:rsid w:val="00BB3E18"/>
    <w:rsid w:val="00BC04C8"/>
    <w:rsid w:val="00BC312D"/>
    <w:rsid w:val="00BC4C49"/>
    <w:rsid w:val="00BC5DEA"/>
    <w:rsid w:val="00BC663B"/>
    <w:rsid w:val="00BC790F"/>
    <w:rsid w:val="00BD10A3"/>
    <w:rsid w:val="00BD2E9F"/>
    <w:rsid w:val="00BD4CA7"/>
    <w:rsid w:val="00BE2E99"/>
    <w:rsid w:val="00BE5E73"/>
    <w:rsid w:val="00BE72F9"/>
    <w:rsid w:val="00BF1772"/>
    <w:rsid w:val="00BF2244"/>
    <w:rsid w:val="00BF267A"/>
    <w:rsid w:val="00BF4F7F"/>
    <w:rsid w:val="00BF5BED"/>
    <w:rsid w:val="00C02D28"/>
    <w:rsid w:val="00C02D63"/>
    <w:rsid w:val="00C12578"/>
    <w:rsid w:val="00C204E0"/>
    <w:rsid w:val="00C2137E"/>
    <w:rsid w:val="00C2171C"/>
    <w:rsid w:val="00C25F19"/>
    <w:rsid w:val="00C30E13"/>
    <w:rsid w:val="00C400F3"/>
    <w:rsid w:val="00C45EC2"/>
    <w:rsid w:val="00C475F2"/>
    <w:rsid w:val="00C54185"/>
    <w:rsid w:val="00C55553"/>
    <w:rsid w:val="00C5651A"/>
    <w:rsid w:val="00C627B2"/>
    <w:rsid w:val="00C63A9B"/>
    <w:rsid w:val="00C640F8"/>
    <w:rsid w:val="00C64BA3"/>
    <w:rsid w:val="00C64BB1"/>
    <w:rsid w:val="00C64E6B"/>
    <w:rsid w:val="00C66F57"/>
    <w:rsid w:val="00C72729"/>
    <w:rsid w:val="00C72944"/>
    <w:rsid w:val="00C847CA"/>
    <w:rsid w:val="00C869CA"/>
    <w:rsid w:val="00C951F4"/>
    <w:rsid w:val="00C9634B"/>
    <w:rsid w:val="00CA56B5"/>
    <w:rsid w:val="00CB00E1"/>
    <w:rsid w:val="00CB2F96"/>
    <w:rsid w:val="00CB55D8"/>
    <w:rsid w:val="00CB6B51"/>
    <w:rsid w:val="00CC159A"/>
    <w:rsid w:val="00CC5A23"/>
    <w:rsid w:val="00CD4097"/>
    <w:rsid w:val="00CF0116"/>
    <w:rsid w:val="00CF2589"/>
    <w:rsid w:val="00CF32DE"/>
    <w:rsid w:val="00CF6D10"/>
    <w:rsid w:val="00CF7B5E"/>
    <w:rsid w:val="00D04538"/>
    <w:rsid w:val="00D06219"/>
    <w:rsid w:val="00D11639"/>
    <w:rsid w:val="00D1533B"/>
    <w:rsid w:val="00D304CF"/>
    <w:rsid w:val="00D33A80"/>
    <w:rsid w:val="00D405CA"/>
    <w:rsid w:val="00D440BF"/>
    <w:rsid w:val="00D50D81"/>
    <w:rsid w:val="00D52654"/>
    <w:rsid w:val="00D52D5D"/>
    <w:rsid w:val="00D56CEC"/>
    <w:rsid w:val="00D5776F"/>
    <w:rsid w:val="00D6153E"/>
    <w:rsid w:val="00D6164F"/>
    <w:rsid w:val="00D64848"/>
    <w:rsid w:val="00D65AF5"/>
    <w:rsid w:val="00D704A3"/>
    <w:rsid w:val="00D72E06"/>
    <w:rsid w:val="00D7477C"/>
    <w:rsid w:val="00D84E92"/>
    <w:rsid w:val="00D85459"/>
    <w:rsid w:val="00D90AD8"/>
    <w:rsid w:val="00D92855"/>
    <w:rsid w:val="00D937F1"/>
    <w:rsid w:val="00D97D0B"/>
    <w:rsid w:val="00DA022C"/>
    <w:rsid w:val="00DA199E"/>
    <w:rsid w:val="00DA27A3"/>
    <w:rsid w:val="00DA6BAF"/>
    <w:rsid w:val="00DB445B"/>
    <w:rsid w:val="00DB7937"/>
    <w:rsid w:val="00DC0DFC"/>
    <w:rsid w:val="00DC3D41"/>
    <w:rsid w:val="00DC3F1D"/>
    <w:rsid w:val="00DD2ED7"/>
    <w:rsid w:val="00DD5E8D"/>
    <w:rsid w:val="00DD7899"/>
    <w:rsid w:val="00DE066F"/>
    <w:rsid w:val="00DE12CB"/>
    <w:rsid w:val="00DE272F"/>
    <w:rsid w:val="00DF2EA9"/>
    <w:rsid w:val="00DF5E34"/>
    <w:rsid w:val="00E0777A"/>
    <w:rsid w:val="00E179D1"/>
    <w:rsid w:val="00E17CE8"/>
    <w:rsid w:val="00E21305"/>
    <w:rsid w:val="00E2140A"/>
    <w:rsid w:val="00E23384"/>
    <w:rsid w:val="00E2347A"/>
    <w:rsid w:val="00E366E3"/>
    <w:rsid w:val="00E41A5E"/>
    <w:rsid w:val="00E434FC"/>
    <w:rsid w:val="00E44335"/>
    <w:rsid w:val="00E62A4A"/>
    <w:rsid w:val="00E678C2"/>
    <w:rsid w:val="00E721FC"/>
    <w:rsid w:val="00E72B29"/>
    <w:rsid w:val="00E81687"/>
    <w:rsid w:val="00E8258A"/>
    <w:rsid w:val="00E8451E"/>
    <w:rsid w:val="00E861DE"/>
    <w:rsid w:val="00E87874"/>
    <w:rsid w:val="00E91FC9"/>
    <w:rsid w:val="00E92971"/>
    <w:rsid w:val="00E96285"/>
    <w:rsid w:val="00EA1E7E"/>
    <w:rsid w:val="00EA68FB"/>
    <w:rsid w:val="00EA7C99"/>
    <w:rsid w:val="00EC31DF"/>
    <w:rsid w:val="00ED1E24"/>
    <w:rsid w:val="00ED6BEB"/>
    <w:rsid w:val="00ED7881"/>
    <w:rsid w:val="00EE3152"/>
    <w:rsid w:val="00EE4F2D"/>
    <w:rsid w:val="00EF1AF1"/>
    <w:rsid w:val="00EF1CFF"/>
    <w:rsid w:val="00EF2CE6"/>
    <w:rsid w:val="00EF59DF"/>
    <w:rsid w:val="00EF7158"/>
    <w:rsid w:val="00F00499"/>
    <w:rsid w:val="00F01CB5"/>
    <w:rsid w:val="00F01FB6"/>
    <w:rsid w:val="00F1219C"/>
    <w:rsid w:val="00F13FFE"/>
    <w:rsid w:val="00F15026"/>
    <w:rsid w:val="00F20964"/>
    <w:rsid w:val="00F330DF"/>
    <w:rsid w:val="00F3416B"/>
    <w:rsid w:val="00F35DAA"/>
    <w:rsid w:val="00F376A3"/>
    <w:rsid w:val="00F41332"/>
    <w:rsid w:val="00F51D76"/>
    <w:rsid w:val="00F52996"/>
    <w:rsid w:val="00F5505B"/>
    <w:rsid w:val="00F623FF"/>
    <w:rsid w:val="00F62965"/>
    <w:rsid w:val="00F6365C"/>
    <w:rsid w:val="00F63DDF"/>
    <w:rsid w:val="00F747CC"/>
    <w:rsid w:val="00F74B4C"/>
    <w:rsid w:val="00F77D3D"/>
    <w:rsid w:val="00F8001D"/>
    <w:rsid w:val="00F822D3"/>
    <w:rsid w:val="00F854F3"/>
    <w:rsid w:val="00F877CD"/>
    <w:rsid w:val="00FA2766"/>
    <w:rsid w:val="00FA3A47"/>
    <w:rsid w:val="00FA3B58"/>
    <w:rsid w:val="00FA6DBC"/>
    <w:rsid w:val="00FB002C"/>
    <w:rsid w:val="00FB1196"/>
    <w:rsid w:val="00FB402D"/>
    <w:rsid w:val="00FB6D2C"/>
    <w:rsid w:val="00FC55E5"/>
    <w:rsid w:val="00FC6232"/>
    <w:rsid w:val="00FD2AB8"/>
    <w:rsid w:val="00FD6D67"/>
    <w:rsid w:val="00FE0EA4"/>
    <w:rsid w:val="00FE44AE"/>
    <w:rsid w:val="00FE6511"/>
    <w:rsid w:val="00FF4B46"/>
    <w:rsid w:val="00FF4FA1"/>
    <w:rsid w:val="00FF7981"/>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C345"/>
  <w14:defaultImageDpi w14:val="32767"/>
  <w15:chartTrackingRefBased/>
  <w15:docId w15:val="{789932CF-F245-49D9-9DB9-375668B3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0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899"/>
    <w:pPr>
      <w:ind w:left="720"/>
      <w:contextualSpacing/>
    </w:pPr>
  </w:style>
  <w:style w:type="character" w:styleId="CommentReference">
    <w:name w:val="annotation reference"/>
    <w:basedOn w:val="DefaultParagraphFont"/>
    <w:uiPriority w:val="99"/>
    <w:semiHidden/>
    <w:unhideWhenUsed/>
    <w:rsid w:val="00887D30"/>
    <w:rPr>
      <w:sz w:val="16"/>
      <w:szCs w:val="16"/>
    </w:rPr>
  </w:style>
  <w:style w:type="paragraph" w:styleId="CommentText">
    <w:name w:val="annotation text"/>
    <w:basedOn w:val="Normal"/>
    <w:link w:val="CommentTextChar"/>
    <w:uiPriority w:val="99"/>
    <w:unhideWhenUsed/>
    <w:rsid w:val="00887D30"/>
    <w:rPr>
      <w:sz w:val="20"/>
      <w:szCs w:val="20"/>
    </w:rPr>
  </w:style>
  <w:style w:type="character" w:customStyle="1" w:styleId="CommentTextChar">
    <w:name w:val="Comment Text Char"/>
    <w:basedOn w:val="DefaultParagraphFont"/>
    <w:link w:val="CommentText"/>
    <w:uiPriority w:val="99"/>
    <w:rsid w:val="00887D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7D30"/>
    <w:rPr>
      <w:b/>
      <w:bCs/>
    </w:rPr>
  </w:style>
  <w:style w:type="character" w:customStyle="1" w:styleId="CommentSubjectChar">
    <w:name w:val="Comment Subject Char"/>
    <w:basedOn w:val="CommentTextChar"/>
    <w:link w:val="CommentSubject"/>
    <w:uiPriority w:val="99"/>
    <w:semiHidden/>
    <w:rsid w:val="00887D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87D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30"/>
    <w:rPr>
      <w:rFonts w:ascii="Segoe UI" w:eastAsia="Times New Roman" w:hAnsi="Segoe UI" w:cs="Segoe UI"/>
      <w:sz w:val="18"/>
      <w:szCs w:val="18"/>
    </w:rPr>
  </w:style>
  <w:style w:type="paragraph" w:customStyle="1" w:styleId="Default">
    <w:name w:val="Default"/>
    <w:rsid w:val="00AC109B"/>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41A4D"/>
    <w:rPr>
      <w:color w:val="0000FF"/>
      <w:u w:val="single"/>
    </w:rPr>
  </w:style>
  <w:style w:type="paragraph" w:styleId="NoSpacing">
    <w:name w:val="No Spacing"/>
    <w:link w:val="NoSpacingChar"/>
    <w:uiPriority w:val="1"/>
    <w:qFormat/>
    <w:rsid w:val="00341A4D"/>
    <w:rPr>
      <w:rFonts w:ascii="Times New Roman" w:eastAsia="Times New Roman" w:hAnsi="Times New Roman" w:cs="Times New Roman"/>
    </w:rPr>
  </w:style>
  <w:style w:type="character" w:customStyle="1" w:styleId="cit-auth">
    <w:name w:val="cit-auth"/>
    <w:basedOn w:val="DefaultParagraphFont"/>
    <w:rsid w:val="00B776B5"/>
  </w:style>
  <w:style w:type="character" w:customStyle="1" w:styleId="cit-name-surname">
    <w:name w:val="cit-name-surname"/>
    <w:basedOn w:val="DefaultParagraphFont"/>
    <w:rsid w:val="00B776B5"/>
  </w:style>
  <w:style w:type="character" w:customStyle="1" w:styleId="cit-name-given-names">
    <w:name w:val="cit-name-given-names"/>
    <w:basedOn w:val="DefaultParagraphFont"/>
    <w:rsid w:val="00B776B5"/>
  </w:style>
  <w:style w:type="character" w:styleId="HTMLCite">
    <w:name w:val="HTML Cite"/>
    <w:basedOn w:val="DefaultParagraphFont"/>
    <w:uiPriority w:val="99"/>
    <w:semiHidden/>
    <w:unhideWhenUsed/>
    <w:rsid w:val="00B776B5"/>
    <w:rPr>
      <w:i/>
      <w:iCs/>
    </w:rPr>
  </w:style>
  <w:style w:type="character" w:customStyle="1" w:styleId="cit-article-title">
    <w:name w:val="cit-article-title"/>
    <w:basedOn w:val="DefaultParagraphFont"/>
    <w:rsid w:val="00B776B5"/>
  </w:style>
  <w:style w:type="character" w:customStyle="1" w:styleId="cit-pub-date">
    <w:name w:val="cit-pub-date"/>
    <w:basedOn w:val="DefaultParagraphFont"/>
    <w:rsid w:val="00B776B5"/>
  </w:style>
  <w:style w:type="character" w:customStyle="1" w:styleId="cit-vol">
    <w:name w:val="cit-vol"/>
    <w:basedOn w:val="DefaultParagraphFont"/>
    <w:rsid w:val="00B776B5"/>
  </w:style>
  <w:style w:type="character" w:customStyle="1" w:styleId="cit-issue">
    <w:name w:val="cit-issue"/>
    <w:basedOn w:val="DefaultParagraphFont"/>
    <w:rsid w:val="00B776B5"/>
  </w:style>
  <w:style w:type="character" w:customStyle="1" w:styleId="cit-fpage">
    <w:name w:val="cit-fpage"/>
    <w:basedOn w:val="DefaultParagraphFont"/>
    <w:rsid w:val="00B776B5"/>
  </w:style>
  <w:style w:type="character" w:customStyle="1" w:styleId="cit-pub-id">
    <w:name w:val="cit-pub-id"/>
    <w:basedOn w:val="DefaultParagraphFont"/>
    <w:rsid w:val="00B776B5"/>
  </w:style>
  <w:style w:type="character" w:customStyle="1" w:styleId="cit-pub-id-scheme-pmid">
    <w:name w:val="cit-pub-id-scheme-pmid"/>
    <w:basedOn w:val="DefaultParagraphFont"/>
    <w:rsid w:val="00B776B5"/>
  </w:style>
  <w:style w:type="paragraph" w:styleId="NormalWeb">
    <w:name w:val="Normal (Web)"/>
    <w:basedOn w:val="Normal"/>
    <w:uiPriority w:val="99"/>
    <w:unhideWhenUsed/>
    <w:rsid w:val="00B776B5"/>
    <w:pPr>
      <w:spacing w:before="100" w:beforeAutospacing="1" w:after="100" w:afterAutospacing="1"/>
    </w:pPr>
  </w:style>
  <w:style w:type="character" w:styleId="Emphasis">
    <w:name w:val="Emphasis"/>
    <w:basedOn w:val="DefaultParagraphFont"/>
    <w:uiPriority w:val="20"/>
    <w:qFormat/>
    <w:rsid w:val="00983568"/>
    <w:rPr>
      <w:i/>
      <w:iCs/>
    </w:rPr>
  </w:style>
  <w:style w:type="paragraph" w:customStyle="1" w:styleId="default0">
    <w:name w:val="default"/>
    <w:basedOn w:val="Normal"/>
    <w:rsid w:val="00D11639"/>
    <w:pPr>
      <w:spacing w:before="100" w:beforeAutospacing="1" w:after="100" w:afterAutospacing="1"/>
    </w:pPr>
  </w:style>
  <w:style w:type="character" w:customStyle="1" w:styleId="NoSpacingChar">
    <w:name w:val="No Spacing Char"/>
    <w:basedOn w:val="DefaultParagraphFont"/>
    <w:link w:val="NoSpacing"/>
    <w:uiPriority w:val="1"/>
    <w:locked/>
    <w:rsid w:val="00D11639"/>
    <w:rPr>
      <w:rFonts w:ascii="Times New Roman" w:eastAsia="Times New Roman" w:hAnsi="Times New Roman" w:cs="Times New Roman"/>
    </w:rPr>
  </w:style>
  <w:style w:type="character" w:customStyle="1" w:styleId="A6">
    <w:name w:val="A6"/>
    <w:uiPriority w:val="99"/>
    <w:rsid w:val="0032708A"/>
    <w:rPr>
      <w:color w:val="000000"/>
      <w:sz w:val="10"/>
      <w:szCs w:val="10"/>
    </w:rPr>
  </w:style>
  <w:style w:type="paragraph" w:styleId="Revision">
    <w:name w:val="Revision"/>
    <w:hidden/>
    <w:uiPriority w:val="99"/>
    <w:semiHidden/>
    <w:rsid w:val="00D440BF"/>
    <w:rPr>
      <w:rFonts w:ascii="Times New Roman" w:eastAsia="Times New Roman" w:hAnsi="Times New Roman" w:cs="Times New Roman"/>
    </w:rPr>
  </w:style>
  <w:style w:type="paragraph" w:styleId="Header">
    <w:name w:val="header"/>
    <w:basedOn w:val="Normal"/>
    <w:link w:val="HeaderChar"/>
    <w:uiPriority w:val="99"/>
    <w:unhideWhenUsed/>
    <w:rsid w:val="00182C94"/>
    <w:pPr>
      <w:tabs>
        <w:tab w:val="center" w:pos="4680"/>
        <w:tab w:val="right" w:pos="9360"/>
      </w:tabs>
    </w:pPr>
  </w:style>
  <w:style w:type="character" w:customStyle="1" w:styleId="HeaderChar">
    <w:name w:val="Header Char"/>
    <w:basedOn w:val="DefaultParagraphFont"/>
    <w:link w:val="Header"/>
    <w:uiPriority w:val="99"/>
    <w:rsid w:val="00182C94"/>
    <w:rPr>
      <w:rFonts w:ascii="Times New Roman" w:eastAsia="Times New Roman" w:hAnsi="Times New Roman" w:cs="Times New Roman"/>
    </w:rPr>
  </w:style>
  <w:style w:type="paragraph" w:styleId="Footer">
    <w:name w:val="footer"/>
    <w:basedOn w:val="Normal"/>
    <w:link w:val="FooterChar"/>
    <w:uiPriority w:val="99"/>
    <w:unhideWhenUsed/>
    <w:rsid w:val="00182C94"/>
    <w:pPr>
      <w:tabs>
        <w:tab w:val="center" w:pos="4680"/>
        <w:tab w:val="right" w:pos="9360"/>
      </w:tabs>
    </w:pPr>
  </w:style>
  <w:style w:type="character" w:customStyle="1" w:styleId="FooterChar">
    <w:name w:val="Footer Char"/>
    <w:basedOn w:val="DefaultParagraphFont"/>
    <w:link w:val="Footer"/>
    <w:uiPriority w:val="99"/>
    <w:rsid w:val="00182C94"/>
    <w:rPr>
      <w:rFonts w:ascii="Times New Roman" w:eastAsia="Times New Roman" w:hAnsi="Times New Roman" w:cs="Times New Roman"/>
    </w:rPr>
  </w:style>
  <w:style w:type="character" w:styleId="LineNumber">
    <w:name w:val="line number"/>
    <w:basedOn w:val="DefaultParagraphFont"/>
    <w:uiPriority w:val="99"/>
    <w:semiHidden/>
    <w:unhideWhenUsed/>
    <w:rsid w:val="00182C94"/>
  </w:style>
  <w:style w:type="character" w:styleId="Strong">
    <w:name w:val="Strong"/>
    <w:basedOn w:val="DefaultParagraphFont"/>
    <w:uiPriority w:val="22"/>
    <w:qFormat/>
    <w:rsid w:val="00AB388D"/>
    <w:rPr>
      <w:b/>
      <w:bCs/>
    </w:rPr>
  </w:style>
  <w:style w:type="character" w:customStyle="1" w:styleId="UnresolvedMention1">
    <w:name w:val="Unresolved Mention1"/>
    <w:basedOn w:val="DefaultParagraphFont"/>
    <w:uiPriority w:val="99"/>
    <w:semiHidden/>
    <w:unhideWhenUsed/>
    <w:rsid w:val="00AB388D"/>
    <w:rPr>
      <w:color w:val="605E5C"/>
      <w:shd w:val="clear" w:color="auto" w:fill="E1DFDD"/>
    </w:rPr>
  </w:style>
  <w:style w:type="character" w:styleId="FollowedHyperlink">
    <w:name w:val="FollowedHyperlink"/>
    <w:basedOn w:val="DefaultParagraphFont"/>
    <w:uiPriority w:val="99"/>
    <w:semiHidden/>
    <w:unhideWhenUsed/>
    <w:rsid w:val="00086954"/>
    <w:rPr>
      <w:color w:val="954F72" w:themeColor="followedHyperlink"/>
      <w:u w:val="single"/>
    </w:rPr>
  </w:style>
  <w:style w:type="character" w:customStyle="1" w:styleId="UnresolvedMention2">
    <w:name w:val="Unresolved Mention2"/>
    <w:basedOn w:val="DefaultParagraphFont"/>
    <w:uiPriority w:val="99"/>
    <w:semiHidden/>
    <w:unhideWhenUsed/>
    <w:rsid w:val="00BC663B"/>
    <w:rPr>
      <w:color w:val="605E5C"/>
      <w:shd w:val="clear" w:color="auto" w:fill="E1DFDD"/>
    </w:rPr>
  </w:style>
  <w:style w:type="character" w:customStyle="1" w:styleId="authors-list-item">
    <w:name w:val="authors-list-item"/>
    <w:basedOn w:val="DefaultParagraphFont"/>
    <w:rsid w:val="004A2305"/>
  </w:style>
  <w:style w:type="character" w:customStyle="1" w:styleId="comma">
    <w:name w:val="comma"/>
    <w:basedOn w:val="DefaultParagraphFont"/>
    <w:rsid w:val="004A2305"/>
  </w:style>
  <w:style w:type="table" w:styleId="TableGrid">
    <w:name w:val="Table Grid"/>
    <w:basedOn w:val="TableNormal"/>
    <w:uiPriority w:val="39"/>
    <w:rsid w:val="00D8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34">
      <w:bodyDiv w:val="1"/>
      <w:marLeft w:val="0"/>
      <w:marRight w:val="0"/>
      <w:marTop w:val="0"/>
      <w:marBottom w:val="0"/>
      <w:divBdr>
        <w:top w:val="none" w:sz="0" w:space="0" w:color="auto"/>
        <w:left w:val="none" w:sz="0" w:space="0" w:color="auto"/>
        <w:bottom w:val="none" w:sz="0" w:space="0" w:color="auto"/>
        <w:right w:val="none" w:sz="0" w:space="0" w:color="auto"/>
      </w:divBdr>
    </w:div>
    <w:div w:id="122430189">
      <w:bodyDiv w:val="1"/>
      <w:marLeft w:val="0"/>
      <w:marRight w:val="0"/>
      <w:marTop w:val="0"/>
      <w:marBottom w:val="0"/>
      <w:divBdr>
        <w:top w:val="none" w:sz="0" w:space="0" w:color="auto"/>
        <w:left w:val="none" w:sz="0" w:space="0" w:color="auto"/>
        <w:bottom w:val="none" w:sz="0" w:space="0" w:color="auto"/>
        <w:right w:val="none" w:sz="0" w:space="0" w:color="auto"/>
      </w:divBdr>
    </w:div>
    <w:div w:id="187643636">
      <w:bodyDiv w:val="1"/>
      <w:marLeft w:val="0"/>
      <w:marRight w:val="0"/>
      <w:marTop w:val="0"/>
      <w:marBottom w:val="0"/>
      <w:divBdr>
        <w:top w:val="none" w:sz="0" w:space="0" w:color="auto"/>
        <w:left w:val="none" w:sz="0" w:space="0" w:color="auto"/>
        <w:bottom w:val="none" w:sz="0" w:space="0" w:color="auto"/>
        <w:right w:val="none" w:sz="0" w:space="0" w:color="auto"/>
      </w:divBdr>
    </w:div>
    <w:div w:id="230236267">
      <w:bodyDiv w:val="1"/>
      <w:marLeft w:val="0"/>
      <w:marRight w:val="0"/>
      <w:marTop w:val="0"/>
      <w:marBottom w:val="0"/>
      <w:divBdr>
        <w:top w:val="none" w:sz="0" w:space="0" w:color="auto"/>
        <w:left w:val="none" w:sz="0" w:space="0" w:color="auto"/>
        <w:bottom w:val="none" w:sz="0" w:space="0" w:color="auto"/>
        <w:right w:val="none" w:sz="0" w:space="0" w:color="auto"/>
      </w:divBdr>
    </w:div>
    <w:div w:id="241913872">
      <w:bodyDiv w:val="1"/>
      <w:marLeft w:val="0"/>
      <w:marRight w:val="0"/>
      <w:marTop w:val="0"/>
      <w:marBottom w:val="0"/>
      <w:divBdr>
        <w:top w:val="none" w:sz="0" w:space="0" w:color="auto"/>
        <w:left w:val="none" w:sz="0" w:space="0" w:color="auto"/>
        <w:bottom w:val="none" w:sz="0" w:space="0" w:color="auto"/>
        <w:right w:val="none" w:sz="0" w:space="0" w:color="auto"/>
      </w:divBdr>
      <w:divsChild>
        <w:div w:id="1546941352">
          <w:marLeft w:val="0"/>
          <w:marRight w:val="0"/>
          <w:marTop w:val="0"/>
          <w:marBottom w:val="0"/>
          <w:divBdr>
            <w:top w:val="none" w:sz="0" w:space="0" w:color="auto"/>
            <w:left w:val="none" w:sz="0" w:space="0" w:color="auto"/>
            <w:bottom w:val="none" w:sz="0" w:space="0" w:color="auto"/>
            <w:right w:val="none" w:sz="0" w:space="0" w:color="auto"/>
          </w:divBdr>
        </w:div>
      </w:divsChild>
    </w:div>
    <w:div w:id="285042235">
      <w:bodyDiv w:val="1"/>
      <w:marLeft w:val="0"/>
      <w:marRight w:val="0"/>
      <w:marTop w:val="0"/>
      <w:marBottom w:val="0"/>
      <w:divBdr>
        <w:top w:val="none" w:sz="0" w:space="0" w:color="auto"/>
        <w:left w:val="none" w:sz="0" w:space="0" w:color="auto"/>
        <w:bottom w:val="none" w:sz="0" w:space="0" w:color="auto"/>
        <w:right w:val="none" w:sz="0" w:space="0" w:color="auto"/>
      </w:divBdr>
      <w:divsChild>
        <w:div w:id="1076971188">
          <w:marLeft w:val="0"/>
          <w:marRight w:val="0"/>
          <w:marTop w:val="0"/>
          <w:marBottom w:val="0"/>
          <w:divBdr>
            <w:top w:val="none" w:sz="0" w:space="0" w:color="auto"/>
            <w:left w:val="none" w:sz="0" w:space="0" w:color="auto"/>
            <w:bottom w:val="none" w:sz="0" w:space="0" w:color="auto"/>
            <w:right w:val="none" w:sz="0" w:space="0" w:color="auto"/>
          </w:divBdr>
        </w:div>
      </w:divsChild>
    </w:div>
    <w:div w:id="510528676">
      <w:bodyDiv w:val="1"/>
      <w:marLeft w:val="0"/>
      <w:marRight w:val="0"/>
      <w:marTop w:val="0"/>
      <w:marBottom w:val="0"/>
      <w:divBdr>
        <w:top w:val="none" w:sz="0" w:space="0" w:color="auto"/>
        <w:left w:val="none" w:sz="0" w:space="0" w:color="auto"/>
        <w:bottom w:val="none" w:sz="0" w:space="0" w:color="auto"/>
        <w:right w:val="none" w:sz="0" w:space="0" w:color="auto"/>
      </w:divBdr>
    </w:div>
    <w:div w:id="512230904">
      <w:bodyDiv w:val="1"/>
      <w:marLeft w:val="0"/>
      <w:marRight w:val="0"/>
      <w:marTop w:val="0"/>
      <w:marBottom w:val="0"/>
      <w:divBdr>
        <w:top w:val="none" w:sz="0" w:space="0" w:color="auto"/>
        <w:left w:val="none" w:sz="0" w:space="0" w:color="auto"/>
        <w:bottom w:val="none" w:sz="0" w:space="0" w:color="auto"/>
        <w:right w:val="none" w:sz="0" w:space="0" w:color="auto"/>
      </w:divBdr>
    </w:div>
    <w:div w:id="633759251">
      <w:bodyDiv w:val="1"/>
      <w:marLeft w:val="0"/>
      <w:marRight w:val="0"/>
      <w:marTop w:val="0"/>
      <w:marBottom w:val="0"/>
      <w:divBdr>
        <w:top w:val="none" w:sz="0" w:space="0" w:color="auto"/>
        <w:left w:val="none" w:sz="0" w:space="0" w:color="auto"/>
        <w:bottom w:val="none" w:sz="0" w:space="0" w:color="auto"/>
        <w:right w:val="none" w:sz="0" w:space="0" w:color="auto"/>
      </w:divBdr>
    </w:div>
    <w:div w:id="689454112">
      <w:bodyDiv w:val="1"/>
      <w:marLeft w:val="0"/>
      <w:marRight w:val="0"/>
      <w:marTop w:val="0"/>
      <w:marBottom w:val="0"/>
      <w:divBdr>
        <w:top w:val="none" w:sz="0" w:space="0" w:color="auto"/>
        <w:left w:val="none" w:sz="0" w:space="0" w:color="auto"/>
        <w:bottom w:val="none" w:sz="0" w:space="0" w:color="auto"/>
        <w:right w:val="none" w:sz="0" w:space="0" w:color="auto"/>
      </w:divBdr>
      <w:divsChild>
        <w:div w:id="7774049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13694144">
      <w:bodyDiv w:val="1"/>
      <w:marLeft w:val="0"/>
      <w:marRight w:val="0"/>
      <w:marTop w:val="0"/>
      <w:marBottom w:val="0"/>
      <w:divBdr>
        <w:top w:val="none" w:sz="0" w:space="0" w:color="auto"/>
        <w:left w:val="none" w:sz="0" w:space="0" w:color="auto"/>
        <w:bottom w:val="none" w:sz="0" w:space="0" w:color="auto"/>
        <w:right w:val="none" w:sz="0" w:space="0" w:color="auto"/>
      </w:divBdr>
    </w:div>
    <w:div w:id="734012600">
      <w:bodyDiv w:val="1"/>
      <w:marLeft w:val="0"/>
      <w:marRight w:val="0"/>
      <w:marTop w:val="0"/>
      <w:marBottom w:val="0"/>
      <w:divBdr>
        <w:top w:val="none" w:sz="0" w:space="0" w:color="auto"/>
        <w:left w:val="none" w:sz="0" w:space="0" w:color="auto"/>
        <w:bottom w:val="none" w:sz="0" w:space="0" w:color="auto"/>
        <w:right w:val="none" w:sz="0" w:space="0" w:color="auto"/>
      </w:divBdr>
    </w:div>
    <w:div w:id="799955672">
      <w:bodyDiv w:val="1"/>
      <w:marLeft w:val="0"/>
      <w:marRight w:val="0"/>
      <w:marTop w:val="0"/>
      <w:marBottom w:val="0"/>
      <w:divBdr>
        <w:top w:val="none" w:sz="0" w:space="0" w:color="auto"/>
        <w:left w:val="none" w:sz="0" w:space="0" w:color="auto"/>
        <w:bottom w:val="none" w:sz="0" w:space="0" w:color="auto"/>
        <w:right w:val="none" w:sz="0" w:space="0" w:color="auto"/>
      </w:divBdr>
    </w:div>
    <w:div w:id="937978959">
      <w:bodyDiv w:val="1"/>
      <w:marLeft w:val="0"/>
      <w:marRight w:val="0"/>
      <w:marTop w:val="0"/>
      <w:marBottom w:val="0"/>
      <w:divBdr>
        <w:top w:val="none" w:sz="0" w:space="0" w:color="auto"/>
        <w:left w:val="none" w:sz="0" w:space="0" w:color="auto"/>
        <w:bottom w:val="none" w:sz="0" w:space="0" w:color="auto"/>
        <w:right w:val="none" w:sz="0" w:space="0" w:color="auto"/>
      </w:divBdr>
    </w:div>
    <w:div w:id="953444218">
      <w:bodyDiv w:val="1"/>
      <w:marLeft w:val="0"/>
      <w:marRight w:val="0"/>
      <w:marTop w:val="0"/>
      <w:marBottom w:val="0"/>
      <w:divBdr>
        <w:top w:val="none" w:sz="0" w:space="0" w:color="auto"/>
        <w:left w:val="none" w:sz="0" w:space="0" w:color="auto"/>
        <w:bottom w:val="none" w:sz="0" w:space="0" w:color="auto"/>
        <w:right w:val="none" w:sz="0" w:space="0" w:color="auto"/>
      </w:divBdr>
    </w:div>
    <w:div w:id="1023898278">
      <w:bodyDiv w:val="1"/>
      <w:marLeft w:val="0"/>
      <w:marRight w:val="0"/>
      <w:marTop w:val="0"/>
      <w:marBottom w:val="0"/>
      <w:divBdr>
        <w:top w:val="none" w:sz="0" w:space="0" w:color="auto"/>
        <w:left w:val="none" w:sz="0" w:space="0" w:color="auto"/>
        <w:bottom w:val="none" w:sz="0" w:space="0" w:color="auto"/>
        <w:right w:val="none" w:sz="0" w:space="0" w:color="auto"/>
      </w:divBdr>
      <w:divsChild>
        <w:div w:id="1810898685">
          <w:marLeft w:val="0"/>
          <w:marRight w:val="0"/>
          <w:marTop w:val="0"/>
          <w:marBottom w:val="0"/>
          <w:divBdr>
            <w:top w:val="none" w:sz="0" w:space="0" w:color="auto"/>
            <w:left w:val="none" w:sz="0" w:space="0" w:color="auto"/>
            <w:bottom w:val="none" w:sz="0" w:space="0" w:color="auto"/>
            <w:right w:val="none" w:sz="0" w:space="0" w:color="auto"/>
          </w:divBdr>
          <w:divsChild>
            <w:div w:id="1772626893">
              <w:marLeft w:val="0"/>
              <w:marRight w:val="0"/>
              <w:marTop w:val="0"/>
              <w:marBottom w:val="0"/>
              <w:divBdr>
                <w:top w:val="none" w:sz="0" w:space="0" w:color="auto"/>
                <w:left w:val="none" w:sz="0" w:space="0" w:color="auto"/>
                <w:bottom w:val="none" w:sz="0" w:space="0" w:color="auto"/>
                <w:right w:val="none" w:sz="0" w:space="0" w:color="auto"/>
              </w:divBdr>
            </w:div>
            <w:div w:id="1884829289">
              <w:marLeft w:val="0"/>
              <w:marRight w:val="0"/>
              <w:marTop w:val="0"/>
              <w:marBottom w:val="0"/>
              <w:divBdr>
                <w:top w:val="none" w:sz="0" w:space="0" w:color="auto"/>
                <w:left w:val="none" w:sz="0" w:space="0" w:color="auto"/>
                <w:bottom w:val="none" w:sz="0" w:space="0" w:color="auto"/>
                <w:right w:val="none" w:sz="0" w:space="0" w:color="auto"/>
              </w:divBdr>
            </w:div>
            <w:div w:id="1019114487">
              <w:marLeft w:val="0"/>
              <w:marRight w:val="0"/>
              <w:marTop w:val="0"/>
              <w:marBottom w:val="0"/>
              <w:divBdr>
                <w:top w:val="none" w:sz="0" w:space="0" w:color="auto"/>
                <w:left w:val="none" w:sz="0" w:space="0" w:color="auto"/>
                <w:bottom w:val="none" w:sz="0" w:space="0" w:color="auto"/>
                <w:right w:val="none" w:sz="0" w:space="0" w:color="auto"/>
              </w:divBdr>
              <w:divsChild>
                <w:div w:id="927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5487">
          <w:marLeft w:val="0"/>
          <w:marRight w:val="0"/>
          <w:marTop w:val="0"/>
          <w:marBottom w:val="0"/>
          <w:divBdr>
            <w:top w:val="none" w:sz="0" w:space="0" w:color="auto"/>
            <w:left w:val="none" w:sz="0" w:space="0" w:color="auto"/>
            <w:bottom w:val="none" w:sz="0" w:space="0" w:color="auto"/>
            <w:right w:val="none" w:sz="0" w:space="0" w:color="auto"/>
          </w:divBdr>
          <w:divsChild>
            <w:div w:id="1882092467">
              <w:marLeft w:val="0"/>
              <w:marRight w:val="0"/>
              <w:marTop w:val="0"/>
              <w:marBottom w:val="0"/>
              <w:divBdr>
                <w:top w:val="none" w:sz="0" w:space="0" w:color="auto"/>
                <w:left w:val="none" w:sz="0" w:space="0" w:color="auto"/>
                <w:bottom w:val="none" w:sz="0" w:space="0" w:color="auto"/>
                <w:right w:val="none" w:sz="0" w:space="0" w:color="auto"/>
              </w:divBdr>
            </w:div>
            <w:div w:id="14467335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3526614">
                  <w:marLeft w:val="0"/>
                  <w:marRight w:val="0"/>
                  <w:marTop w:val="0"/>
                  <w:marBottom w:val="0"/>
                  <w:divBdr>
                    <w:top w:val="none" w:sz="0" w:space="0" w:color="auto"/>
                    <w:left w:val="none" w:sz="0" w:space="0" w:color="auto"/>
                    <w:bottom w:val="none" w:sz="0" w:space="0" w:color="auto"/>
                    <w:right w:val="none" w:sz="0" w:space="0" w:color="auto"/>
                  </w:divBdr>
                  <w:divsChild>
                    <w:div w:id="1851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8967">
      <w:bodyDiv w:val="1"/>
      <w:marLeft w:val="0"/>
      <w:marRight w:val="0"/>
      <w:marTop w:val="0"/>
      <w:marBottom w:val="0"/>
      <w:divBdr>
        <w:top w:val="none" w:sz="0" w:space="0" w:color="auto"/>
        <w:left w:val="none" w:sz="0" w:space="0" w:color="auto"/>
        <w:bottom w:val="none" w:sz="0" w:space="0" w:color="auto"/>
        <w:right w:val="none" w:sz="0" w:space="0" w:color="auto"/>
      </w:divBdr>
    </w:div>
    <w:div w:id="1113985254">
      <w:bodyDiv w:val="1"/>
      <w:marLeft w:val="0"/>
      <w:marRight w:val="0"/>
      <w:marTop w:val="0"/>
      <w:marBottom w:val="0"/>
      <w:divBdr>
        <w:top w:val="none" w:sz="0" w:space="0" w:color="auto"/>
        <w:left w:val="none" w:sz="0" w:space="0" w:color="auto"/>
        <w:bottom w:val="none" w:sz="0" w:space="0" w:color="auto"/>
        <w:right w:val="none" w:sz="0" w:space="0" w:color="auto"/>
      </w:divBdr>
    </w:div>
    <w:div w:id="1134328548">
      <w:bodyDiv w:val="1"/>
      <w:marLeft w:val="0"/>
      <w:marRight w:val="0"/>
      <w:marTop w:val="0"/>
      <w:marBottom w:val="0"/>
      <w:divBdr>
        <w:top w:val="none" w:sz="0" w:space="0" w:color="auto"/>
        <w:left w:val="none" w:sz="0" w:space="0" w:color="auto"/>
        <w:bottom w:val="none" w:sz="0" w:space="0" w:color="auto"/>
        <w:right w:val="none" w:sz="0" w:space="0" w:color="auto"/>
      </w:divBdr>
    </w:div>
    <w:div w:id="1146094385">
      <w:bodyDiv w:val="1"/>
      <w:marLeft w:val="0"/>
      <w:marRight w:val="0"/>
      <w:marTop w:val="0"/>
      <w:marBottom w:val="0"/>
      <w:divBdr>
        <w:top w:val="none" w:sz="0" w:space="0" w:color="auto"/>
        <w:left w:val="none" w:sz="0" w:space="0" w:color="auto"/>
        <w:bottom w:val="none" w:sz="0" w:space="0" w:color="auto"/>
        <w:right w:val="none" w:sz="0" w:space="0" w:color="auto"/>
      </w:divBdr>
    </w:div>
    <w:div w:id="1307052701">
      <w:bodyDiv w:val="1"/>
      <w:marLeft w:val="0"/>
      <w:marRight w:val="0"/>
      <w:marTop w:val="0"/>
      <w:marBottom w:val="0"/>
      <w:divBdr>
        <w:top w:val="none" w:sz="0" w:space="0" w:color="auto"/>
        <w:left w:val="none" w:sz="0" w:space="0" w:color="auto"/>
        <w:bottom w:val="none" w:sz="0" w:space="0" w:color="auto"/>
        <w:right w:val="none" w:sz="0" w:space="0" w:color="auto"/>
      </w:divBdr>
    </w:div>
    <w:div w:id="1326275463">
      <w:bodyDiv w:val="1"/>
      <w:marLeft w:val="0"/>
      <w:marRight w:val="0"/>
      <w:marTop w:val="0"/>
      <w:marBottom w:val="0"/>
      <w:divBdr>
        <w:top w:val="none" w:sz="0" w:space="0" w:color="auto"/>
        <w:left w:val="none" w:sz="0" w:space="0" w:color="auto"/>
        <w:bottom w:val="none" w:sz="0" w:space="0" w:color="auto"/>
        <w:right w:val="none" w:sz="0" w:space="0" w:color="auto"/>
      </w:divBdr>
    </w:div>
    <w:div w:id="1393887545">
      <w:bodyDiv w:val="1"/>
      <w:marLeft w:val="0"/>
      <w:marRight w:val="0"/>
      <w:marTop w:val="0"/>
      <w:marBottom w:val="0"/>
      <w:divBdr>
        <w:top w:val="none" w:sz="0" w:space="0" w:color="auto"/>
        <w:left w:val="none" w:sz="0" w:space="0" w:color="auto"/>
        <w:bottom w:val="none" w:sz="0" w:space="0" w:color="auto"/>
        <w:right w:val="none" w:sz="0" w:space="0" w:color="auto"/>
      </w:divBdr>
      <w:divsChild>
        <w:div w:id="19539017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01054256">
      <w:bodyDiv w:val="1"/>
      <w:marLeft w:val="0"/>
      <w:marRight w:val="0"/>
      <w:marTop w:val="0"/>
      <w:marBottom w:val="0"/>
      <w:divBdr>
        <w:top w:val="none" w:sz="0" w:space="0" w:color="auto"/>
        <w:left w:val="none" w:sz="0" w:space="0" w:color="auto"/>
        <w:bottom w:val="none" w:sz="0" w:space="0" w:color="auto"/>
        <w:right w:val="none" w:sz="0" w:space="0" w:color="auto"/>
      </w:divBdr>
    </w:div>
    <w:div w:id="1454594479">
      <w:bodyDiv w:val="1"/>
      <w:marLeft w:val="0"/>
      <w:marRight w:val="0"/>
      <w:marTop w:val="0"/>
      <w:marBottom w:val="0"/>
      <w:divBdr>
        <w:top w:val="none" w:sz="0" w:space="0" w:color="auto"/>
        <w:left w:val="none" w:sz="0" w:space="0" w:color="auto"/>
        <w:bottom w:val="none" w:sz="0" w:space="0" w:color="auto"/>
        <w:right w:val="none" w:sz="0" w:space="0" w:color="auto"/>
      </w:divBdr>
    </w:div>
    <w:div w:id="1473055955">
      <w:bodyDiv w:val="1"/>
      <w:marLeft w:val="0"/>
      <w:marRight w:val="0"/>
      <w:marTop w:val="0"/>
      <w:marBottom w:val="0"/>
      <w:divBdr>
        <w:top w:val="none" w:sz="0" w:space="0" w:color="auto"/>
        <w:left w:val="none" w:sz="0" w:space="0" w:color="auto"/>
        <w:bottom w:val="none" w:sz="0" w:space="0" w:color="auto"/>
        <w:right w:val="none" w:sz="0" w:space="0" w:color="auto"/>
      </w:divBdr>
    </w:div>
    <w:div w:id="1551919998">
      <w:bodyDiv w:val="1"/>
      <w:marLeft w:val="0"/>
      <w:marRight w:val="0"/>
      <w:marTop w:val="0"/>
      <w:marBottom w:val="0"/>
      <w:divBdr>
        <w:top w:val="none" w:sz="0" w:space="0" w:color="auto"/>
        <w:left w:val="none" w:sz="0" w:space="0" w:color="auto"/>
        <w:bottom w:val="none" w:sz="0" w:space="0" w:color="auto"/>
        <w:right w:val="none" w:sz="0" w:space="0" w:color="auto"/>
      </w:divBdr>
    </w:div>
    <w:div w:id="1568607209">
      <w:bodyDiv w:val="1"/>
      <w:marLeft w:val="0"/>
      <w:marRight w:val="0"/>
      <w:marTop w:val="0"/>
      <w:marBottom w:val="0"/>
      <w:divBdr>
        <w:top w:val="none" w:sz="0" w:space="0" w:color="auto"/>
        <w:left w:val="none" w:sz="0" w:space="0" w:color="auto"/>
        <w:bottom w:val="none" w:sz="0" w:space="0" w:color="auto"/>
        <w:right w:val="none" w:sz="0" w:space="0" w:color="auto"/>
      </w:divBdr>
    </w:div>
    <w:div w:id="1647971865">
      <w:bodyDiv w:val="1"/>
      <w:marLeft w:val="0"/>
      <w:marRight w:val="0"/>
      <w:marTop w:val="0"/>
      <w:marBottom w:val="0"/>
      <w:divBdr>
        <w:top w:val="none" w:sz="0" w:space="0" w:color="auto"/>
        <w:left w:val="none" w:sz="0" w:space="0" w:color="auto"/>
        <w:bottom w:val="none" w:sz="0" w:space="0" w:color="auto"/>
        <w:right w:val="none" w:sz="0" w:space="0" w:color="auto"/>
      </w:divBdr>
    </w:div>
    <w:div w:id="1664770324">
      <w:bodyDiv w:val="1"/>
      <w:marLeft w:val="0"/>
      <w:marRight w:val="0"/>
      <w:marTop w:val="0"/>
      <w:marBottom w:val="0"/>
      <w:divBdr>
        <w:top w:val="none" w:sz="0" w:space="0" w:color="auto"/>
        <w:left w:val="none" w:sz="0" w:space="0" w:color="auto"/>
        <w:bottom w:val="none" w:sz="0" w:space="0" w:color="auto"/>
        <w:right w:val="none" w:sz="0" w:space="0" w:color="auto"/>
      </w:divBdr>
    </w:div>
    <w:div w:id="1842350590">
      <w:bodyDiv w:val="1"/>
      <w:marLeft w:val="0"/>
      <w:marRight w:val="0"/>
      <w:marTop w:val="0"/>
      <w:marBottom w:val="0"/>
      <w:divBdr>
        <w:top w:val="none" w:sz="0" w:space="0" w:color="auto"/>
        <w:left w:val="none" w:sz="0" w:space="0" w:color="auto"/>
        <w:bottom w:val="none" w:sz="0" w:space="0" w:color="auto"/>
        <w:right w:val="none" w:sz="0" w:space="0" w:color="auto"/>
      </w:divBdr>
    </w:div>
    <w:div w:id="1921673740">
      <w:bodyDiv w:val="1"/>
      <w:marLeft w:val="0"/>
      <w:marRight w:val="0"/>
      <w:marTop w:val="0"/>
      <w:marBottom w:val="0"/>
      <w:divBdr>
        <w:top w:val="none" w:sz="0" w:space="0" w:color="auto"/>
        <w:left w:val="none" w:sz="0" w:space="0" w:color="auto"/>
        <w:bottom w:val="none" w:sz="0" w:space="0" w:color="auto"/>
        <w:right w:val="none" w:sz="0" w:space="0" w:color="auto"/>
      </w:divBdr>
    </w:div>
    <w:div w:id="1928689462">
      <w:bodyDiv w:val="1"/>
      <w:marLeft w:val="0"/>
      <w:marRight w:val="0"/>
      <w:marTop w:val="0"/>
      <w:marBottom w:val="0"/>
      <w:divBdr>
        <w:top w:val="none" w:sz="0" w:space="0" w:color="auto"/>
        <w:left w:val="none" w:sz="0" w:space="0" w:color="auto"/>
        <w:bottom w:val="none" w:sz="0" w:space="0" w:color="auto"/>
        <w:right w:val="none" w:sz="0" w:space="0" w:color="auto"/>
      </w:divBdr>
    </w:div>
    <w:div w:id="2032797349">
      <w:bodyDiv w:val="1"/>
      <w:marLeft w:val="0"/>
      <w:marRight w:val="0"/>
      <w:marTop w:val="0"/>
      <w:marBottom w:val="0"/>
      <w:divBdr>
        <w:top w:val="none" w:sz="0" w:space="0" w:color="auto"/>
        <w:left w:val="none" w:sz="0" w:space="0" w:color="auto"/>
        <w:bottom w:val="none" w:sz="0" w:space="0" w:color="auto"/>
        <w:right w:val="none" w:sz="0" w:space="0" w:color="auto"/>
      </w:divBdr>
    </w:div>
    <w:div w:id="210988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a.johnson.ctr@usuh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bcdstudy.org/scientists/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23AC154-0C3A-4E17-A5DC-A7691DE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16</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Klein</dc:creator>
  <cp:keywords/>
  <dc:description/>
  <cp:lastModifiedBy>Klein, David A Lt Col USAF 60 MDG (USA)</cp:lastModifiedBy>
  <cp:revision>92</cp:revision>
  <cp:lastPrinted>2021-09-02T21:04:00Z</cp:lastPrinted>
  <dcterms:created xsi:type="dcterms:W3CDTF">2021-06-28T19:26:00Z</dcterms:created>
  <dcterms:modified xsi:type="dcterms:W3CDTF">2022-01-13T17:54:00Z</dcterms:modified>
</cp:coreProperties>
</file>